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0F" w:rsidRDefault="0060389A">
      <w:pPr>
        <w:spacing w:after="0" w:line="276" w:lineRule="auto"/>
        <w:jc w:val="right"/>
        <w:rPr>
          <w:rFonts w:ascii="Tahoma" w:hAnsi="Tahoma"/>
          <w:b/>
          <w:bCs/>
          <w:sz w:val="18"/>
          <w:szCs w:val="18"/>
          <w:u w:val="single"/>
        </w:rPr>
      </w:pPr>
      <w:r>
        <w:rPr>
          <w:rFonts w:ascii="Tahoma" w:hAnsi="Tahoma"/>
          <w:b/>
          <w:bCs/>
          <w:sz w:val="18"/>
          <w:szCs w:val="18"/>
          <w:u w:val="single"/>
        </w:rPr>
        <w:t>Załącznik nr 2 do SIWZ</w:t>
      </w:r>
    </w:p>
    <w:p w:rsidR="000C770F" w:rsidRDefault="000C770F">
      <w:pPr>
        <w:spacing w:after="0" w:line="276" w:lineRule="auto"/>
        <w:jc w:val="both"/>
        <w:rPr>
          <w:rFonts w:ascii="Tahoma" w:hAnsi="Tahoma"/>
          <w:bCs/>
          <w:sz w:val="18"/>
          <w:szCs w:val="18"/>
          <w:u w:val="single"/>
        </w:rPr>
      </w:pPr>
    </w:p>
    <w:p w:rsidR="000C770F" w:rsidRDefault="0060389A">
      <w:pPr>
        <w:spacing w:after="0" w:line="276" w:lineRule="auto"/>
        <w:jc w:val="center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Usługa serwisowa rezonansu magnetycznego wraz ze stacjami opisowymi</w:t>
      </w:r>
    </w:p>
    <w:p w:rsidR="000C770F" w:rsidRDefault="000C770F">
      <w:pPr>
        <w:spacing w:after="0" w:line="276" w:lineRule="auto"/>
        <w:jc w:val="both"/>
        <w:rPr>
          <w:rFonts w:ascii="Tahoma" w:hAnsi="Tahoma"/>
          <w:bCs/>
          <w:sz w:val="18"/>
          <w:szCs w:val="18"/>
        </w:rPr>
      </w:pPr>
    </w:p>
    <w:p w:rsidR="000C770F" w:rsidRDefault="0060389A">
      <w:pPr>
        <w:spacing w:after="0" w:line="276" w:lineRule="auto"/>
        <w:jc w:val="center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Opis przedmiotu zamówienia</w:t>
      </w:r>
    </w:p>
    <w:p w:rsidR="000C770F" w:rsidRDefault="000C770F">
      <w:pPr>
        <w:spacing w:after="0" w:line="276" w:lineRule="auto"/>
        <w:jc w:val="both"/>
        <w:rPr>
          <w:rFonts w:ascii="Tahoma" w:hAnsi="Tahoma"/>
          <w:bCs/>
          <w:sz w:val="18"/>
          <w:szCs w:val="18"/>
        </w:rPr>
      </w:pPr>
    </w:p>
    <w:p w:rsidR="000C770F" w:rsidRDefault="0060389A">
      <w:pPr>
        <w:pStyle w:val="Akapitzlist"/>
        <w:numPr>
          <w:ilvl w:val="0"/>
          <w:numId w:val="1"/>
        </w:numPr>
        <w:spacing w:after="120" w:line="276" w:lineRule="auto"/>
        <w:ind w:left="0" w:hanging="284"/>
        <w:jc w:val="both"/>
      </w:pPr>
      <w:r>
        <w:rPr>
          <w:rFonts w:ascii="Tahoma" w:hAnsi="Tahoma"/>
          <w:b/>
          <w:bCs/>
          <w:sz w:val="18"/>
          <w:szCs w:val="18"/>
        </w:rPr>
        <w:t xml:space="preserve">Przedmiot zamówienia składa się z następujących urządzeń: 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</w:pPr>
      <w:r>
        <w:rPr>
          <w:rFonts w:ascii="Tahoma" w:hAnsi="Tahoma"/>
          <w:bCs/>
          <w:sz w:val="18"/>
          <w:szCs w:val="18"/>
        </w:rPr>
        <w:t xml:space="preserve">Rezonansu Magnetycznego </w:t>
      </w:r>
      <w:r>
        <w:rPr>
          <w:rFonts w:ascii="Tahoma" w:hAnsi="Tahoma"/>
          <w:b/>
          <w:bCs/>
          <w:sz w:val="18"/>
          <w:szCs w:val="18"/>
        </w:rPr>
        <w:t xml:space="preserve">Siemens MAGNETOM </w:t>
      </w:r>
      <w:proofErr w:type="spellStart"/>
      <w:r>
        <w:rPr>
          <w:rFonts w:ascii="Tahoma" w:hAnsi="Tahoma"/>
          <w:b/>
          <w:bCs/>
          <w:sz w:val="18"/>
          <w:szCs w:val="18"/>
        </w:rPr>
        <w:t>Avanto</w:t>
      </w:r>
      <w:proofErr w:type="spellEnd"/>
      <w:r>
        <w:rPr>
          <w:rFonts w:ascii="Tahoma" w:hAnsi="Tahoma"/>
          <w:bCs/>
          <w:sz w:val="18"/>
          <w:szCs w:val="18"/>
        </w:rPr>
        <w:t xml:space="preserve"> s/n 27397 (rok </w:t>
      </w:r>
      <w:proofErr w:type="spellStart"/>
      <w:r>
        <w:rPr>
          <w:rFonts w:ascii="Tahoma" w:hAnsi="Tahoma"/>
          <w:bCs/>
          <w:sz w:val="18"/>
          <w:szCs w:val="18"/>
        </w:rPr>
        <w:t>prod</w:t>
      </w:r>
      <w:proofErr w:type="spellEnd"/>
      <w:r>
        <w:rPr>
          <w:rFonts w:ascii="Tahoma" w:hAnsi="Tahoma"/>
          <w:bCs/>
          <w:sz w:val="18"/>
          <w:szCs w:val="18"/>
        </w:rPr>
        <w:t xml:space="preserve">. 2010, wersja oprogramowania VB17A-SP4), w szczególności szafy: separatora – SEP, sterownicza – ACC, gradientów – GPA, </w:t>
      </w:r>
      <w:proofErr w:type="spellStart"/>
      <w:r>
        <w:rPr>
          <w:rFonts w:ascii="Tahoma" w:hAnsi="Tahoma"/>
          <w:bCs/>
          <w:sz w:val="18"/>
          <w:szCs w:val="18"/>
        </w:rPr>
        <w:t>gantry</w:t>
      </w:r>
      <w:proofErr w:type="spellEnd"/>
      <w:r>
        <w:rPr>
          <w:rFonts w:ascii="Tahoma" w:hAnsi="Tahoma"/>
          <w:bCs/>
          <w:sz w:val="18"/>
          <w:szCs w:val="18"/>
        </w:rPr>
        <w:t xml:space="preserve"> z magnesem, stół dla pacjenta, jednostka centralna – konsola akwizycyjna MRAWP z monitorem LCD/TFT, akcesoria: komplet cewek nadawczo-odbiorczych, fantomy, system monitorowania fizjologicznego – PERU (czujniki: oddechu pacjenta oraz EKG), bezprzewodowy czujnik tętna – PPU, słuchawki dla pacjenta, gruszka sygnalizacyjna/alarmowa dla pacjenta, interkom do komunikacji głosowej z pacjentem, system wizyjny podglądu pacjenta,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</w:pPr>
      <w:r>
        <w:rPr>
          <w:rFonts w:ascii="Tahoma" w:hAnsi="Tahoma"/>
          <w:sz w:val="18"/>
          <w:szCs w:val="18"/>
        </w:rPr>
        <w:t>dwóch</w:t>
      </w:r>
      <w:r>
        <w:rPr>
          <w:rFonts w:ascii="Tahoma" w:hAnsi="Tahoma"/>
          <w:bCs/>
          <w:sz w:val="18"/>
          <w:szCs w:val="18"/>
        </w:rPr>
        <w:t xml:space="preserve"> dedykowanych stacji opisowych </w:t>
      </w:r>
      <w:proofErr w:type="spellStart"/>
      <w:r>
        <w:rPr>
          <w:rFonts w:ascii="Tahoma" w:hAnsi="Tahoma"/>
          <w:b/>
          <w:bCs/>
          <w:sz w:val="18"/>
          <w:szCs w:val="18"/>
        </w:rPr>
        <w:t>Syngo</w:t>
      </w:r>
      <w:proofErr w:type="spellEnd"/>
      <w:r>
        <w:rPr>
          <w:rFonts w:ascii="Tahoma" w:hAnsi="Tahoma"/>
          <w:b/>
          <w:bCs/>
          <w:sz w:val="18"/>
          <w:szCs w:val="18"/>
        </w:rPr>
        <w:t xml:space="preserve"> </w:t>
      </w:r>
      <w:proofErr w:type="spellStart"/>
      <w:r>
        <w:rPr>
          <w:rFonts w:ascii="Tahoma" w:hAnsi="Tahoma"/>
          <w:b/>
          <w:bCs/>
          <w:sz w:val="18"/>
          <w:szCs w:val="18"/>
        </w:rPr>
        <w:t>MultiModality</w:t>
      </w:r>
      <w:proofErr w:type="spellEnd"/>
      <w:r>
        <w:rPr>
          <w:rFonts w:ascii="Tahoma" w:hAnsi="Tahoma"/>
          <w:b/>
          <w:bCs/>
          <w:sz w:val="18"/>
          <w:szCs w:val="18"/>
        </w:rPr>
        <w:t xml:space="preserve"> </w:t>
      </w:r>
      <w:proofErr w:type="spellStart"/>
      <w:r>
        <w:rPr>
          <w:rFonts w:ascii="Tahoma" w:hAnsi="Tahoma"/>
          <w:b/>
          <w:bCs/>
          <w:sz w:val="18"/>
          <w:szCs w:val="18"/>
        </w:rPr>
        <w:t>Workplace</w:t>
      </w:r>
      <w:proofErr w:type="spellEnd"/>
      <w:r>
        <w:rPr>
          <w:rFonts w:ascii="Tahoma" w:hAnsi="Tahoma"/>
          <w:b/>
          <w:bCs/>
          <w:sz w:val="18"/>
          <w:szCs w:val="18"/>
        </w:rPr>
        <w:t xml:space="preserve"> Leonardo</w:t>
      </w:r>
      <w:r>
        <w:rPr>
          <w:rFonts w:ascii="Tahoma" w:hAnsi="Tahoma"/>
          <w:bCs/>
          <w:sz w:val="18"/>
          <w:szCs w:val="18"/>
        </w:rPr>
        <w:t xml:space="preserve"> s/n 3422 oraz s/n 3423 (rok </w:t>
      </w:r>
      <w:proofErr w:type="spellStart"/>
      <w:r>
        <w:rPr>
          <w:rFonts w:ascii="Tahoma" w:hAnsi="Tahoma"/>
          <w:bCs/>
          <w:sz w:val="18"/>
          <w:szCs w:val="18"/>
        </w:rPr>
        <w:t>prod</w:t>
      </w:r>
      <w:proofErr w:type="spellEnd"/>
      <w:r>
        <w:rPr>
          <w:rFonts w:ascii="Tahoma" w:hAnsi="Tahoma"/>
          <w:bCs/>
          <w:sz w:val="18"/>
          <w:szCs w:val="18"/>
        </w:rPr>
        <w:t>. 2010, wersja oprogramowania VE36A_SP04), w szczególności dla każdej stacji: jednostka centralna, 2 szt. monitora LCD/TFT, akcesoria: klawiatura, mysz,</w:t>
      </w:r>
    </w:p>
    <w:p w:rsidR="000C770F" w:rsidRDefault="000C770F">
      <w:pPr>
        <w:pStyle w:val="Akapitzlist"/>
        <w:spacing w:after="120" w:line="276" w:lineRule="auto"/>
        <w:ind w:left="426"/>
        <w:jc w:val="both"/>
        <w:rPr>
          <w:rFonts w:ascii="Tahoma" w:hAnsi="Tahoma"/>
          <w:bCs/>
          <w:sz w:val="18"/>
          <w:szCs w:val="18"/>
        </w:rPr>
      </w:pPr>
    </w:p>
    <w:p w:rsidR="000C770F" w:rsidRDefault="0060389A">
      <w:pPr>
        <w:pStyle w:val="Akapitzlist"/>
        <w:numPr>
          <w:ilvl w:val="0"/>
          <w:numId w:val="1"/>
        </w:numPr>
        <w:spacing w:after="120" w:line="276" w:lineRule="auto"/>
        <w:ind w:left="0" w:hanging="284"/>
        <w:jc w:val="both"/>
      </w:pPr>
      <w:r>
        <w:rPr>
          <w:rFonts w:ascii="Tahoma" w:hAnsi="Tahoma"/>
          <w:b/>
          <w:bCs/>
          <w:sz w:val="18"/>
          <w:szCs w:val="18"/>
        </w:rPr>
        <w:t xml:space="preserve">W ramach realizacji usługi Zamawiający wymaga dla </w:t>
      </w:r>
      <w:r>
        <w:rPr>
          <w:rFonts w:ascii="Tahoma" w:hAnsi="Tahoma"/>
          <w:b/>
          <w:bCs/>
          <w:i/>
          <w:sz w:val="18"/>
          <w:szCs w:val="18"/>
        </w:rPr>
        <w:t>Przedmiotu zamówienia</w:t>
      </w:r>
      <w:r>
        <w:rPr>
          <w:rFonts w:ascii="Tahoma" w:hAnsi="Tahoma"/>
          <w:b/>
          <w:bCs/>
          <w:sz w:val="18"/>
          <w:szCs w:val="18"/>
        </w:rPr>
        <w:t>: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</w:pPr>
      <w:r>
        <w:rPr>
          <w:rFonts w:ascii="Tahoma" w:hAnsi="Tahoma"/>
          <w:sz w:val="18"/>
          <w:szCs w:val="18"/>
        </w:rPr>
        <w:t xml:space="preserve">wykonania okresowych </w:t>
      </w:r>
      <w:r>
        <w:rPr>
          <w:rFonts w:ascii="Tahoma" w:hAnsi="Tahoma"/>
          <w:b/>
          <w:sz w:val="18"/>
          <w:szCs w:val="18"/>
        </w:rPr>
        <w:t>przeglądów technicznych</w:t>
      </w:r>
      <w:r>
        <w:rPr>
          <w:rFonts w:ascii="Tahoma" w:hAnsi="Tahoma"/>
          <w:sz w:val="18"/>
          <w:szCs w:val="18"/>
        </w:rPr>
        <w:t xml:space="preserve"> w interwale co 6 miesięcy, przy czym pierwszy przegląd powinien zostać wykonany w miesiącu grudniu 2019 roku, a kolejny w czerwcu 2020 roku,</w:t>
      </w:r>
    </w:p>
    <w:p w:rsidR="000C770F" w:rsidRDefault="0060389A">
      <w:pPr>
        <w:pStyle w:val="Akapitzlist"/>
        <w:numPr>
          <w:ilvl w:val="1"/>
          <w:numId w:val="1"/>
        </w:numPr>
        <w:spacing w:after="0" w:line="276" w:lineRule="auto"/>
        <w:ind w:left="426"/>
        <w:jc w:val="both"/>
      </w:pPr>
      <w:r>
        <w:rPr>
          <w:rFonts w:ascii="Tahoma" w:hAnsi="Tahoma"/>
          <w:sz w:val="18"/>
          <w:szCs w:val="18"/>
        </w:rPr>
        <w:t xml:space="preserve">zagwarantowania nielimitowanej ilości </w:t>
      </w:r>
      <w:r>
        <w:rPr>
          <w:rFonts w:ascii="Tahoma" w:hAnsi="Tahoma"/>
          <w:b/>
          <w:sz w:val="18"/>
          <w:szCs w:val="18"/>
        </w:rPr>
        <w:t>doraźnych interwencji</w:t>
      </w:r>
      <w:r>
        <w:rPr>
          <w:rFonts w:ascii="Tahoma" w:hAnsi="Tahoma"/>
          <w:sz w:val="18"/>
          <w:szCs w:val="18"/>
        </w:rPr>
        <w:t xml:space="preserve"> dla potrzeb diagnostyki i usunięcia ewentualnych awarii lub</w:t>
      </w:r>
      <w:r>
        <w:rPr>
          <w:rFonts w:ascii="Tahoma" w:hAnsi="Tahoma"/>
          <w:bCs/>
          <w:sz w:val="18"/>
          <w:szCs w:val="18"/>
        </w:rPr>
        <w:t xml:space="preserve"> nieprawidłowości w funkcjonowaniu,</w:t>
      </w:r>
    </w:p>
    <w:p w:rsidR="000C770F" w:rsidRDefault="0060389A">
      <w:pPr>
        <w:spacing w:after="120" w:line="276" w:lineRule="auto"/>
        <w:ind w:left="-6"/>
        <w:jc w:val="both"/>
      </w:pPr>
      <w:r>
        <w:rPr>
          <w:rFonts w:ascii="Tahoma" w:hAnsi="Tahoma"/>
          <w:bCs/>
          <w:sz w:val="18"/>
          <w:szCs w:val="18"/>
        </w:rPr>
        <w:t xml:space="preserve">przez serwis posiadający niezbędne zaplecze techniczne oraz doświadczenie w wykonywaniu ww. usług dla </w:t>
      </w:r>
      <w:r>
        <w:rPr>
          <w:rFonts w:ascii="Tahoma" w:hAnsi="Tahoma"/>
          <w:bCs/>
          <w:i/>
          <w:sz w:val="18"/>
          <w:szCs w:val="18"/>
        </w:rPr>
        <w:t>Przedmiotu zamówienia</w:t>
      </w:r>
      <w:r>
        <w:rPr>
          <w:rFonts w:ascii="Tahoma" w:hAnsi="Tahoma"/>
          <w:bCs/>
          <w:sz w:val="18"/>
          <w:szCs w:val="18"/>
        </w:rPr>
        <w:t xml:space="preserve"> szczegółowo opisane w punkcie 4.4 lit. c) SIWZ.</w:t>
      </w:r>
    </w:p>
    <w:p w:rsidR="000C770F" w:rsidRDefault="000C770F">
      <w:pPr>
        <w:spacing w:after="0" w:line="276" w:lineRule="auto"/>
        <w:jc w:val="both"/>
        <w:rPr>
          <w:rFonts w:ascii="Tahoma" w:hAnsi="Tahoma"/>
          <w:bCs/>
          <w:sz w:val="18"/>
          <w:szCs w:val="18"/>
        </w:rPr>
      </w:pPr>
    </w:p>
    <w:p w:rsidR="000C770F" w:rsidRDefault="0060389A">
      <w:pPr>
        <w:pStyle w:val="Akapitzlist"/>
        <w:numPr>
          <w:ilvl w:val="0"/>
          <w:numId w:val="1"/>
        </w:numPr>
        <w:spacing w:after="120" w:line="276" w:lineRule="auto"/>
        <w:ind w:left="0" w:hanging="284"/>
        <w:jc w:val="both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 xml:space="preserve">Zakres przeglądu technicznego powinien obejmować minimum następujące czynności: 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Kontrolę ogólną urządzenia (sprawdzenie: systemu, przewodów połączeniowych oraz prowadnic przewodów),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</w:pPr>
      <w:r>
        <w:rPr>
          <w:rFonts w:ascii="Tahoma" w:hAnsi="Tahoma"/>
          <w:sz w:val="18"/>
          <w:szCs w:val="18"/>
        </w:rPr>
        <w:t>Czyszczenie podzespołów komputerowych (czyszczenie wnętrza obudowy, kontrola systemu chłodzenia obudowy, kontrola monitora LCD/TFT, kontrola działania myszy i klawiatury),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Konserwację systemu chłodzenia (kontrola działania systemu, sprawdzenie zespołu wentylatora szafy ACC, sprawdzenie wentylatorów filtrów gradientowych),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</w:pPr>
      <w:r>
        <w:rPr>
          <w:rFonts w:ascii="Tahoma" w:hAnsi="Tahoma"/>
          <w:sz w:val="18"/>
          <w:szCs w:val="18"/>
        </w:rPr>
        <w:t>Konserwację układu filtrów (kontrola działania systemu, w szczególności: kontrola filtrów siatkowych w pierwotnym i wtórnym obiegu wody, wymiana filtra pompy próżniowej),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Wymianę elementów eksploatacyjnych urządzenia (jednorazowo podczas pierwszego przeglądu – grudzień 2019 r.):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</w:pPr>
      <w:r>
        <w:rPr>
          <w:rFonts w:ascii="Tahoma" w:hAnsi="Tahoma"/>
          <w:i/>
          <w:sz w:val="18"/>
          <w:szCs w:val="18"/>
        </w:rPr>
        <w:t>TALES</w:t>
      </w:r>
      <w:r>
        <w:rPr>
          <w:rFonts w:ascii="Tahoma" w:hAnsi="Tahoma"/>
          <w:sz w:val="18"/>
          <w:szCs w:val="18"/>
        </w:rPr>
        <w:t xml:space="preserve"> (instalowany element powinien posiadać dokument potwierdzający wykonanie sprawdzenia i/lub kalibracji nie wcześniej niż 6 miesięcy od daty instalacji),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</w:pPr>
      <w:r>
        <w:rPr>
          <w:rFonts w:ascii="Tahoma" w:hAnsi="Tahoma"/>
          <w:sz w:val="18"/>
          <w:szCs w:val="18"/>
        </w:rPr>
        <w:t xml:space="preserve">absorber </w:t>
      </w:r>
      <w:r>
        <w:rPr>
          <w:rFonts w:ascii="Tahoma" w:hAnsi="Tahoma"/>
          <w:i/>
          <w:sz w:val="18"/>
          <w:szCs w:val="18"/>
        </w:rPr>
        <w:t>Sumitomo F70</w:t>
      </w:r>
      <w:r>
        <w:rPr>
          <w:rFonts w:ascii="Tahoma" w:hAnsi="Tahoma"/>
          <w:sz w:val="18"/>
          <w:szCs w:val="18"/>
        </w:rPr>
        <w:t>,</w:t>
      </w:r>
    </w:p>
    <w:p w:rsidR="000C770F" w:rsidRDefault="0060389A">
      <w:pPr>
        <w:pStyle w:val="Akapitzlist"/>
        <w:spacing w:after="120" w:line="276" w:lineRule="auto"/>
        <w:ind w:left="360"/>
        <w:jc w:val="both"/>
      </w:pPr>
      <w:r>
        <w:rPr>
          <w:rFonts w:ascii="Tahoma" w:hAnsi="Tahoma"/>
          <w:b/>
          <w:sz w:val="18"/>
          <w:szCs w:val="18"/>
        </w:rPr>
        <w:t>UWAGA: Zamawiający wymaga, aby wymiana elementów eksploatacyjnych nie wpłynęła na zachowanie ciągłości pracy rezonansu magnetycznego tj. wymiana elementów powinna nastąpić w dniu wykonania przeglądu technicznego,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Kontrolę bezpieczeństwa akcesoriów oraz opcji dodatkowych: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</w:pPr>
      <w:r>
        <w:rPr>
          <w:rFonts w:ascii="Tahoma" w:hAnsi="Tahoma"/>
          <w:sz w:val="18"/>
          <w:szCs w:val="18"/>
        </w:rPr>
        <w:t xml:space="preserve">Sprawdzenie cewek RF (cewki: głowowa, szyjna, do badań tułowia typu Body Matrix, kręgosłupowa, barkowa, do badania kończyn, do badań piersi, typu </w:t>
      </w:r>
      <w:proofErr w:type="spellStart"/>
      <w:r>
        <w:rPr>
          <w:rFonts w:ascii="Tahoma" w:hAnsi="Tahoma"/>
          <w:sz w:val="18"/>
          <w:szCs w:val="18"/>
        </w:rPr>
        <w:t>Flex</w:t>
      </w:r>
      <w:proofErr w:type="spellEnd"/>
      <w:r>
        <w:rPr>
          <w:rFonts w:ascii="Tahoma" w:hAnsi="Tahoma"/>
          <w:sz w:val="18"/>
          <w:szCs w:val="18"/>
        </w:rPr>
        <w:t xml:space="preserve"> duża/mała, kolanowa, matrycowa PA),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Sprawdzenie wzrokowe oraz kontrola rury awaryjnego wyrzutu helu,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</w:pPr>
      <w:r>
        <w:rPr>
          <w:rFonts w:ascii="Tahoma" w:hAnsi="Tahoma"/>
          <w:sz w:val="18"/>
          <w:szCs w:val="18"/>
        </w:rPr>
        <w:t>Sprawdzenie magnesu (w szczególności: pod kątem obecności wody w układzie, kontrola wieżyczki serwisowej magnesu i systemu wentylacji pod kątem obecności lodu, kontrola szczelności systemu magnesu),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Sprawdzenie drzwi pomieszczenia RF (w szczególności: kontrola zamka),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Sprawdzenie wentylatora pacjenta (w szczególności: kontrola oraz wymiana filtra powietrza),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</w:pPr>
      <w:r>
        <w:rPr>
          <w:rFonts w:ascii="Tahoma" w:hAnsi="Tahoma"/>
          <w:sz w:val="18"/>
          <w:szCs w:val="18"/>
        </w:rPr>
        <w:t xml:space="preserve">Kontrola fantomów do kontroli jakości (wszystkich dostępnych przy aparacie: 4x 200 ml, fantom do spektroskopii, fantom sferyczny D170), 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</w:pPr>
      <w:r>
        <w:rPr>
          <w:rFonts w:ascii="Tahoma" w:hAnsi="Tahoma"/>
          <w:sz w:val="18"/>
          <w:szCs w:val="18"/>
        </w:rPr>
        <w:t xml:space="preserve">Sprawdzenie oznaczeń (w szczególności: ikon użytkownika i etykiet przycisków, identyfikacji obszaru kontrolowanego dostępu – obszar 0,5 </w:t>
      </w:r>
      <w:proofErr w:type="spellStart"/>
      <w:r>
        <w:rPr>
          <w:rFonts w:ascii="Tahoma" w:hAnsi="Tahoma"/>
          <w:sz w:val="18"/>
          <w:szCs w:val="18"/>
        </w:rPr>
        <w:t>mT</w:t>
      </w:r>
      <w:proofErr w:type="spellEnd"/>
      <w:r>
        <w:rPr>
          <w:rFonts w:ascii="Tahoma" w:hAnsi="Tahoma"/>
          <w:sz w:val="18"/>
          <w:szCs w:val="18"/>
        </w:rPr>
        <w:t>, etykiet ostrzegającej przed laserem, znaków ostrzegawczych ruchu stołu, znaków ostrzegawczy o konieczności stosowania ochrony słuchu),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lastRenderedPageBreak/>
        <w:t>Kontrolę bezpieczeństwa elektrycznego (zgodnie z normą PN-EN 62353:2015-02):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Pomiary rezystancji przewodu ochronnego (punkty pomiarowe: ‘ACC – śruba uziemiająca – sieciowa szafa rozdzielcza’, ‘płyta filtra RF – śruba uziemiająca’, ‘magnes – obudowa magnesu’, ‘elementy RF na magnesie – płyta montażowa’, ‘stół pacjenta – śruba u dołu stołu’, ‘kompresor głowicy chłodzącej magnes – obudowa’, ‘komputer główny MRC – śruba obudowy’, ‘opcja SEP – metalowa rama’, ‘opcja IFP – metalowa rama’, ‘zespół sterujący interkomu – śruba obudowy’, ‘interkom – śruba obudowy – śruba obudowy’, ‘rozdzielacz zasilania elementów konsoli - śruba uziemiająca’, ‘monitor TFT/LCD – śruba u dołu obudowy’) – wartości graniczne dla każdego punktu pomiarowego ≤0,3Ω,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Kontrolę bezpieczeństwa mechanicznego (smarowanie elementów ruchomych stołu pacjenta oraz elementów zabezpieczająco/mocujących cewek),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Wykonanie testów funkcjonalnych: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przycisków wyłącznika awaryjnego urządzenia,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systemu awaryjnego rozładowania pola magnetycznego ERDU (w szczególności: test przycisku ‘Magnet Stop’),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monitoringu systemu gradientów,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stołu pacjenta (w szczególności: kontrola wyłączników bezpieczeństwa, kontrola zespołu napędowego, kontrola funkcji STOP, kontrola awaryjnego ruchu stołu pacjenta, kontrola odległości między stołem pacjenta a ścianą w pomieszczeniu aparatu MR, kontrola odległości pomiędzy stołem pacjenta a obudową, kontrola ruchów stołu pacjenta),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gruszki alarmowej (kontrola oraz sprawdzenie działania),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integralności systemu RF (test monitora SAR, pomiar strat mocy na cewkach),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Konserwację oprogramowania: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wykonanie trwałej kopii bezpieczeństwa ustawień systemu oraz kopii zestawów protokołów (kopia na płycie CD/DVD jest własnością Zamawiającego i powinna zostać umieszczona w miejscu przez niego wskazanym),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czyszczenie katalogów systemowych (w szczególności: plików dziennika pracy systemu MR, danych lokalnych),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w razie konieczności </w:t>
      </w:r>
      <w:proofErr w:type="spellStart"/>
      <w:r>
        <w:rPr>
          <w:rFonts w:ascii="Tahoma" w:hAnsi="Tahoma"/>
          <w:sz w:val="18"/>
          <w:szCs w:val="18"/>
        </w:rPr>
        <w:t>reinstalacja</w:t>
      </w:r>
      <w:proofErr w:type="spellEnd"/>
      <w:r>
        <w:rPr>
          <w:rFonts w:ascii="Tahoma" w:hAnsi="Tahoma"/>
          <w:sz w:val="18"/>
          <w:szCs w:val="18"/>
        </w:rPr>
        <w:t xml:space="preserve"> systemu operacyjnego i oprogramowania oraz inicjalizacja bazy danych,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Wykonanie testów zapewnienia jakości (QA) dla całego systemu, w szczególności sprawdzenie jakości obrazowania, wartości pomiarowych dla różnych trybów akwizycji (m.in. spektroskopia MR), a w razie przekroczenia wartości dopuszczalnych, wykonanie odpowiednich kalibracji systemowych skutkujących przywróceniem parametrów w granice tolerancji.</w:t>
      </w:r>
    </w:p>
    <w:p w:rsidR="000C770F" w:rsidRDefault="000C770F">
      <w:pPr>
        <w:spacing w:after="0" w:line="276" w:lineRule="auto"/>
        <w:ind w:hanging="284"/>
        <w:jc w:val="both"/>
        <w:rPr>
          <w:rFonts w:ascii="Tahoma" w:hAnsi="Tahoma"/>
          <w:bCs/>
          <w:sz w:val="18"/>
          <w:szCs w:val="18"/>
        </w:rPr>
      </w:pPr>
    </w:p>
    <w:p w:rsidR="000C770F" w:rsidRDefault="0060389A">
      <w:pPr>
        <w:pStyle w:val="Akapitzlist"/>
        <w:numPr>
          <w:ilvl w:val="0"/>
          <w:numId w:val="1"/>
        </w:numPr>
        <w:spacing w:after="120" w:line="276" w:lineRule="auto"/>
        <w:ind w:left="0" w:hanging="284"/>
        <w:jc w:val="both"/>
      </w:pPr>
      <w:r>
        <w:rPr>
          <w:rFonts w:ascii="Tahoma" w:hAnsi="Tahoma"/>
          <w:b/>
          <w:bCs/>
          <w:sz w:val="18"/>
          <w:szCs w:val="18"/>
        </w:rPr>
        <w:t xml:space="preserve">W pozostałym zakresie Zamawiający wymaga od Wykonawcy dla </w:t>
      </w:r>
      <w:r>
        <w:rPr>
          <w:rFonts w:ascii="Tahoma" w:hAnsi="Tahoma"/>
          <w:b/>
          <w:bCs/>
          <w:i/>
          <w:sz w:val="18"/>
          <w:szCs w:val="18"/>
        </w:rPr>
        <w:t>Przedmiotu zamówienia</w:t>
      </w:r>
      <w:r>
        <w:rPr>
          <w:rFonts w:ascii="Tahoma" w:hAnsi="Tahoma"/>
          <w:b/>
          <w:bCs/>
          <w:sz w:val="18"/>
          <w:szCs w:val="18"/>
        </w:rPr>
        <w:t>: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</w:pPr>
      <w:r>
        <w:rPr>
          <w:rFonts w:ascii="Tahoma" w:hAnsi="Tahoma"/>
          <w:sz w:val="18"/>
          <w:szCs w:val="18"/>
        </w:rPr>
        <w:t xml:space="preserve">zapewnienia wszystkich części </w:t>
      </w:r>
      <w:r>
        <w:rPr>
          <w:rFonts w:ascii="Tahoma" w:hAnsi="Tahoma"/>
          <w:bCs/>
          <w:sz w:val="18"/>
          <w:szCs w:val="18"/>
        </w:rPr>
        <w:t xml:space="preserve">eksploatacyjnych, części </w:t>
      </w:r>
      <w:r>
        <w:rPr>
          <w:rFonts w:ascii="Tahoma" w:hAnsi="Tahoma"/>
          <w:sz w:val="18"/>
          <w:szCs w:val="18"/>
        </w:rPr>
        <w:t>zamiennych oraz materiałów zużywalnych niezbędnych do wykonania przeglądów technicznych,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</w:pPr>
      <w:r>
        <w:rPr>
          <w:rFonts w:ascii="Tahoma" w:hAnsi="Tahoma"/>
          <w:sz w:val="18"/>
          <w:szCs w:val="18"/>
        </w:rPr>
        <w:t>zapewnienia wszystkich</w:t>
      </w:r>
      <w:r w:rsidRPr="005C56C9">
        <w:rPr>
          <w:rFonts w:ascii="Tahoma" w:hAnsi="Tahoma"/>
          <w:sz w:val="18"/>
          <w:szCs w:val="18"/>
        </w:rPr>
        <w:t xml:space="preserve"> części </w:t>
      </w:r>
      <w:r w:rsidRPr="005C56C9">
        <w:rPr>
          <w:rFonts w:ascii="Tahoma" w:hAnsi="Tahoma"/>
          <w:bCs/>
          <w:sz w:val="18"/>
          <w:szCs w:val="18"/>
        </w:rPr>
        <w:t xml:space="preserve">eksploatacyjnych, części </w:t>
      </w:r>
      <w:r w:rsidRPr="005C56C9">
        <w:rPr>
          <w:rFonts w:ascii="Tahoma" w:hAnsi="Tahoma"/>
          <w:sz w:val="18"/>
          <w:szCs w:val="18"/>
        </w:rPr>
        <w:t>zamiennych oraz materiałów zużywalnych niezbędnych do wykonania napraw, które będą każdorazowo uzgadniane z użytkownikiem na podstawie odrębnej oferty (przedstawionej bez zbędnej zwłoki), w przypadku akceptacji oferty Wykonawca dostarczy części bez zbędnej zwłoki, a naprawa zostanie zakończona w czasie nie dłuższym niż 3 dni robocze,</w:t>
      </w:r>
    </w:p>
    <w:p w:rsidR="000C770F" w:rsidRDefault="0060389A">
      <w:pPr>
        <w:pStyle w:val="Akapitzlist"/>
        <w:spacing w:after="120" w:line="276" w:lineRule="auto"/>
        <w:ind w:left="360"/>
        <w:jc w:val="both"/>
      </w:pPr>
      <w:r>
        <w:rPr>
          <w:rFonts w:ascii="Tahoma" w:hAnsi="Tahoma"/>
          <w:b/>
          <w:sz w:val="18"/>
          <w:szCs w:val="18"/>
        </w:rPr>
        <w:t>UWAGA: Zamawiający zastrzega sobie prawo do weryfikacji oferty cenowej oraz ewentualnego żądania korekty ceny zaproponowanej w ofercie w oparciu o rozeznanie cen rynkowych.</w:t>
      </w:r>
    </w:p>
    <w:p w:rsidR="000C770F" w:rsidRDefault="0060389A" w:rsidP="00FE3201">
      <w:pPr>
        <w:pStyle w:val="Akapitzlis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5C56C9">
        <w:rPr>
          <w:rFonts w:ascii="Tahoma" w:hAnsi="Tahoma"/>
          <w:sz w:val="18"/>
          <w:szCs w:val="18"/>
        </w:rPr>
        <w:t>zapewnienia niezbędnego czasu pracy inżyniera(-ów) serwisu wraz z kosztami dojazdu,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  <w:rPr>
          <w:rFonts w:ascii="Tahoma" w:hAnsi="Tahoma"/>
          <w:sz w:val="18"/>
          <w:szCs w:val="18"/>
        </w:rPr>
      </w:pPr>
      <w:r w:rsidRPr="005C56C9">
        <w:rPr>
          <w:rFonts w:ascii="Tahoma" w:hAnsi="Tahoma"/>
          <w:sz w:val="18"/>
          <w:szCs w:val="18"/>
        </w:rPr>
        <w:t>zapewnienia wykonania zdalnego diagnozowania przyczyn awarii lub nieprawidłowości w funkcjono</w:t>
      </w:r>
      <w:r>
        <w:rPr>
          <w:rFonts w:ascii="Tahoma" w:hAnsi="Tahoma"/>
          <w:sz w:val="18"/>
          <w:szCs w:val="18"/>
        </w:rPr>
        <w:t xml:space="preserve">waniu oraz napraw oprogramowania poprzez </w:t>
      </w:r>
      <w:bookmarkStart w:id="0" w:name="_GoBack"/>
      <w:bookmarkEnd w:id="0"/>
      <w:r>
        <w:rPr>
          <w:rFonts w:ascii="Tahoma" w:hAnsi="Tahoma"/>
          <w:sz w:val="18"/>
          <w:szCs w:val="18"/>
        </w:rPr>
        <w:t>sieć komputerową (zdalna diagnostyka) przy użyciu metody gwarantującej bezpieczeństwo połączenia oraz należyte zabezpieczenie danych poufnych/wrażliwych, w szczególności danych osobowych pacjentów,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zapewnienia możliwości kontaktu telefonicznego z inżynierem serwisu celem konsultacji (np. dotyczącej występujących nieprawidłowości w zakresie sprzętowym i aplikacyjnym),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</w:pPr>
      <w:r>
        <w:rPr>
          <w:rFonts w:ascii="Tahoma" w:hAnsi="Tahoma"/>
          <w:sz w:val="18"/>
          <w:szCs w:val="18"/>
        </w:rPr>
        <w:t xml:space="preserve">zapewnienia możliwości zgłoszenia nieprawidłowości w funkcjonowaniu lub awarii przez 7 dni w tygodniu, 24 godziny na dobę, ze zwrotną wiadomością e-mail potwierdzającą przyjęcie zgłoszenia do realizacji (np. poprzez </w:t>
      </w:r>
      <w:proofErr w:type="spellStart"/>
      <w:r>
        <w:rPr>
          <w:rFonts w:ascii="Tahoma" w:hAnsi="Tahoma"/>
          <w:sz w:val="18"/>
          <w:szCs w:val="18"/>
        </w:rPr>
        <w:t>autoodpowiedź</w:t>
      </w:r>
      <w:proofErr w:type="spellEnd"/>
      <w:r>
        <w:rPr>
          <w:rFonts w:ascii="Tahoma" w:hAnsi="Tahoma"/>
          <w:sz w:val="18"/>
          <w:szCs w:val="18"/>
        </w:rPr>
        <w:t>):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telefonicznie (np. infolinia),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poprzez pocztę elektroniczną (e-mail),</w:t>
      </w:r>
    </w:p>
    <w:p w:rsidR="000C770F" w:rsidRDefault="0060389A">
      <w:pPr>
        <w:pStyle w:val="Akapitzlist"/>
        <w:numPr>
          <w:ilvl w:val="2"/>
          <w:numId w:val="1"/>
        </w:numPr>
        <w:spacing w:after="120" w:line="276" w:lineRule="auto"/>
        <w:ind w:left="993" w:hanging="567"/>
        <w:jc w:val="both"/>
      </w:pPr>
      <w:r>
        <w:rPr>
          <w:rFonts w:ascii="Tahoma" w:hAnsi="Tahoma"/>
          <w:sz w:val="18"/>
          <w:szCs w:val="18"/>
        </w:rPr>
        <w:t>portal internetowy,</w:t>
      </w:r>
    </w:p>
    <w:p w:rsidR="000C770F" w:rsidRDefault="0060389A">
      <w:pPr>
        <w:pStyle w:val="Akapitzlist"/>
        <w:spacing w:after="120" w:line="276" w:lineRule="auto"/>
        <w:ind w:left="36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lastRenderedPageBreak/>
        <w:t>UWAGA: Strony w czasie podpisywania umowy określą sposób zgłaszania nieprawidłowości</w:t>
      </w:r>
      <w:r>
        <w:rPr>
          <w:rFonts w:ascii="Tahoma" w:hAnsi="Tahoma"/>
          <w:b/>
          <w:sz w:val="18"/>
          <w:szCs w:val="18"/>
        </w:rPr>
        <w:br/>
        <w:t>w funkcjonowaniu lub awarii oraz adres e-mail na który zostanie wysłane potwierdzenie przyjęcia zgłoszenia.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czasu reakcji przedstawiciela serwisu przy urządzeniu od zgłoszenia awarii wynoszącego maksymalnie 2 dni robocze,</w:t>
      </w:r>
    </w:p>
    <w:p w:rsidR="000C770F" w:rsidRDefault="0060389A">
      <w:pPr>
        <w:pStyle w:val="Akapitzlist"/>
        <w:numPr>
          <w:ilvl w:val="1"/>
          <w:numId w:val="1"/>
        </w:numPr>
        <w:spacing w:after="120" w:line="276" w:lineRule="auto"/>
        <w:ind w:left="426"/>
        <w:jc w:val="both"/>
      </w:pPr>
      <w:r>
        <w:rPr>
          <w:rFonts w:ascii="Tahoma" w:hAnsi="Tahoma"/>
          <w:sz w:val="18"/>
          <w:szCs w:val="18"/>
        </w:rPr>
        <w:t xml:space="preserve">zakończenia działań serwisowych i przywrócenie pełnej sprawności </w:t>
      </w:r>
      <w:r>
        <w:rPr>
          <w:rFonts w:ascii="Tahoma" w:hAnsi="Tahoma"/>
          <w:i/>
          <w:sz w:val="18"/>
          <w:szCs w:val="18"/>
        </w:rPr>
        <w:t>Przedmiotu zamówienia</w:t>
      </w:r>
      <w:r>
        <w:rPr>
          <w:rFonts w:ascii="Tahoma" w:hAnsi="Tahoma"/>
          <w:sz w:val="18"/>
          <w:szCs w:val="18"/>
        </w:rPr>
        <w:t xml:space="preserve"> w czasie nie</w:t>
      </w:r>
      <w:r>
        <w:rPr>
          <w:rFonts w:ascii="Tahoma" w:hAnsi="Tahoma"/>
          <w:bCs/>
          <w:sz w:val="18"/>
          <w:szCs w:val="18"/>
        </w:rPr>
        <w:t> dłuższym niż 3 dni robocze (o ile naprawa nie będzie wymagała wymiany części – w takim przypadku 3 dni robocze będą liczone od</w:t>
      </w:r>
      <w:r>
        <w:rPr>
          <w:rFonts w:ascii="Tahoma" w:hAnsi="Tahoma"/>
          <w:sz w:val="18"/>
          <w:szCs w:val="18"/>
        </w:rPr>
        <w:t xml:space="preserve"> momentu potwierdzenia przez Zamawiającego oferty cenowej na części niezbędne do wykonania naprawy),</w:t>
      </w:r>
    </w:p>
    <w:p w:rsidR="000C770F" w:rsidRDefault="0060389A">
      <w:pPr>
        <w:pStyle w:val="Akapitzlist"/>
        <w:numPr>
          <w:ilvl w:val="0"/>
          <w:numId w:val="1"/>
        </w:numPr>
        <w:spacing w:after="120" w:line="276" w:lineRule="auto"/>
        <w:ind w:left="0" w:hanging="284"/>
        <w:jc w:val="both"/>
      </w:pPr>
      <w:r>
        <w:rPr>
          <w:rFonts w:ascii="Tahoma" w:hAnsi="Tahoma"/>
          <w:bCs/>
          <w:sz w:val="18"/>
          <w:szCs w:val="18"/>
        </w:rPr>
        <w:t xml:space="preserve">Każdorazowa wizyta serwisowa, przegląd techniczny oraz wymiana części muszą być zakończone dokonaniem wpisu w paszporcie technicznym </w:t>
      </w:r>
      <w:r>
        <w:rPr>
          <w:rFonts w:ascii="Tahoma" w:hAnsi="Tahoma"/>
          <w:bCs/>
          <w:i/>
          <w:sz w:val="18"/>
          <w:szCs w:val="18"/>
        </w:rPr>
        <w:t>Przedmiotu zamówienia</w:t>
      </w:r>
      <w:r>
        <w:rPr>
          <w:rFonts w:ascii="Tahoma" w:hAnsi="Tahoma"/>
          <w:bCs/>
          <w:sz w:val="18"/>
          <w:szCs w:val="18"/>
        </w:rPr>
        <w:t>. W ramach wpisu wymaga się precyzyjnego opisania wszystkich wykonanych czynności serwisowych, chyba że Wykonawca wystawi Zamawiającemu dokument z wykonanej usługi (np. Raport serwisowy) posiadający stosowny wpis – wtedy wpis w paszporcie może być ogólny z odniesieniem do wystawionego dokumentu (np. Raportu serwisowego). Czynności serwisowe muszą zostać potwierdzone własnoręcznym podpisem Wykonawcy wraz z pieczęcią firmową.</w:t>
      </w:r>
    </w:p>
    <w:p w:rsidR="000C770F" w:rsidRDefault="0060389A">
      <w:pPr>
        <w:pStyle w:val="Akapitzlist"/>
        <w:numPr>
          <w:ilvl w:val="0"/>
          <w:numId w:val="1"/>
        </w:numPr>
        <w:spacing w:after="120" w:line="276" w:lineRule="auto"/>
        <w:ind w:left="0" w:hanging="284"/>
        <w:jc w:val="both"/>
      </w:pPr>
      <w:r>
        <w:rPr>
          <w:rFonts w:ascii="Tahoma" w:hAnsi="Tahoma"/>
          <w:bCs/>
          <w:sz w:val="18"/>
          <w:szCs w:val="18"/>
        </w:rPr>
        <w:t>Zamawiający wymaga, aby Wykonawca niezwłocznie po zakończeniu przeglądu technicznego wystawił dla </w:t>
      </w:r>
      <w:r>
        <w:rPr>
          <w:rFonts w:ascii="Tahoma" w:hAnsi="Tahoma"/>
          <w:bCs/>
          <w:i/>
          <w:sz w:val="18"/>
          <w:szCs w:val="18"/>
        </w:rPr>
        <w:t>Przedmiotu zamówienia</w:t>
      </w:r>
      <w:r>
        <w:rPr>
          <w:rFonts w:ascii="Tahoma" w:hAnsi="Tahoma"/>
          <w:bCs/>
          <w:sz w:val="18"/>
          <w:szCs w:val="18"/>
        </w:rPr>
        <w:t xml:space="preserve"> poświadczenie sprawności (np. Certyfikat) potwierdzające jego prawidłowe działanie i bezpieczeństwo dla pacjentów oraz personelu Zamawiającego.</w:t>
      </w:r>
    </w:p>
    <w:p w:rsidR="000C770F" w:rsidRDefault="0060389A">
      <w:pPr>
        <w:pStyle w:val="Akapitzlist"/>
        <w:numPr>
          <w:ilvl w:val="0"/>
          <w:numId w:val="1"/>
        </w:numPr>
        <w:spacing w:after="120" w:line="276" w:lineRule="auto"/>
        <w:ind w:left="0" w:hanging="284"/>
        <w:jc w:val="both"/>
        <w:rPr>
          <w:rFonts w:ascii="Tahoma" w:hAnsi="Tahoma"/>
          <w:bCs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Wykonawca udzieli gwarancji na wykonane wizyty serwisowe na okres co najmniej 3 miesięcy, natomiast na dostarczone części zamienne udziela gwarancji na okres przewidziany przez producenta części jednak nie krótszy niż 6 miesięcy.</w:t>
      </w:r>
    </w:p>
    <w:p w:rsidR="000C770F" w:rsidRDefault="0060389A">
      <w:pPr>
        <w:pStyle w:val="Akapitzlist"/>
        <w:numPr>
          <w:ilvl w:val="0"/>
          <w:numId w:val="1"/>
        </w:numPr>
        <w:spacing w:after="120" w:line="276" w:lineRule="auto"/>
        <w:ind w:left="0" w:hanging="284"/>
        <w:jc w:val="both"/>
        <w:rPr>
          <w:rFonts w:ascii="Tahoma" w:hAnsi="Tahoma"/>
          <w:bCs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Wykonawca każdorazowo po naprawie zobowiązany jest przekazać zamawiającemu dokument opisujący czynności wykonane podczas naprawy oraz wykaz wymienionych części wraz z kartą gwarancyjną lub podobnym dokumentem wystawionym przez producenta części lub dokumentem wystawionym przez Wykonawcę świadczącym o wymianie konkretnego podzespołu, w którym zostanie określony czas trwania gwarancji (np. Raport serwisowy).</w:t>
      </w:r>
    </w:p>
    <w:p w:rsidR="000C770F" w:rsidRDefault="0060389A">
      <w:pPr>
        <w:pStyle w:val="Akapitzlist"/>
        <w:numPr>
          <w:ilvl w:val="0"/>
          <w:numId w:val="1"/>
        </w:numPr>
        <w:spacing w:after="120" w:line="276" w:lineRule="auto"/>
        <w:ind w:left="0" w:hanging="284"/>
        <w:jc w:val="both"/>
      </w:pPr>
      <w:r>
        <w:rPr>
          <w:rFonts w:ascii="Tahoma" w:hAnsi="Tahoma"/>
          <w:bCs/>
          <w:sz w:val="18"/>
          <w:szCs w:val="18"/>
        </w:rPr>
        <w:t xml:space="preserve">Zamawiający wymaga, żeby wszystkie </w:t>
      </w:r>
      <w:r>
        <w:rPr>
          <w:rFonts w:ascii="Tahoma" w:hAnsi="Tahoma"/>
          <w:sz w:val="18"/>
          <w:szCs w:val="18"/>
        </w:rPr>
        <w:t xml:space="preserve">części </w:t>
      </w:r>
      <w:r>
        <w:rPr>
          <w:rFonts w:ascii="Tahoma" w:hAnsi="Tahoma"/>
          <w:bCs/>
          <w:sz w:val="18"/>
          <w:szCs w:val="18"/>
        </w:rPr>
        <w:t xml:space="preserve">eksploatacyjne, części </w:t>
      </w:r>
      <w:r>
        <w:rPr>
          <w:rFonts w:ascii="Tahoma" w:hAnsi="Tahoma"/>
          <w:sz w:val="18"/>
          <w:szCs w:val="18"/>
        </w:rPr>
        <w:t xml:space="preserve">zamienne oraz materiały zużywalne niezbędne </w:t>
      </w:r>
      <w:r>
        <w:rPr>
          <w:rFonts w:ascii="Tahoma" w:hAnsi="Tahoma"/>
          <w:bCs/>
          <w:sz w:val="18"/>
          <w:szCs w:val="18"/>
        </w:rPr>
        <w:t xml:space="preserve">do wykonania usługi były oryginalne, dedykowane dla </w:t>
      </w:r>
      <w:r>
        <w:rPr>
          <w:rFonts w:ascii="Tahoma" w:hAnsi="Tahoma"/>
          <w:bCs/>
          <w:i/>
          <w:sz w:val="18"/>
          <w:szCs w:val="18"/>
        </w:rPr>
        <w:t>Przedmiotu zamówienia</w:t>
      </w:r>
      <w:r>
        <w:rPr>
          <w:rFonts w:ascii="Tahoma" w:hAnsi="Tahoma"/>
          <w:bCs/>
          <w:sz w:val="18"/>
          <w:szCs w:val="18"/>
        </w:rPr>
        <w:t>, a także były fabrycznie nowe, nieużywane, nieregenerowane, a ich użycie nie powodowało uszkodzenia lub nieprawidłowego funkcjonowania.</w:t>
      </w:r>
    </w:p>
    <w:p w:rsidR="000C770F" w:rsidRDefault="0060389A">
      <w:pPr>
        <w:pStyle w:val="Akapitzlist"/>
        <w:numPr>
          <w:ilvl w:val="0"/>
          <w:numId w:val="1"/>
        </w:numPr>
        <w:spacing w:after="120" w:line="276" w:lineRule="auto"/>
        <w:ind w:left="0" w:hanging="284"/>
        <w:jc w:val="both"/>
      </w:pPr>
      <w:r>
        <w:rPr>
          <w:rFonts w:ascii="Tahoma" w:hAnsi="Tahoma"/>
          <w:bCs/>
          <w:sz w:val="18"/>
          <w:szCs w:val="18"/>
        </w:rPr>
        <w:t xml:space="preserve">W przypadku naprawy </w:t>
      </w:r>
      <w:r>
        <w:rPr>
          <w:rFonts w:ascii="Tahoma" w:hAnsi="Tahoma"/>
          <w:bCs/>
          <w:i/>
          <w:sz w:val="18"/>
          <w:szCs w:val="18"/>
        </w:rPr>
        <w:t>Przedmiotu zamówienia</w:t>
      </w:r>
      <w:r>
        <w:rPr>
          <w:rFonts w:ascii="Tahoma" w:hAnsi="Tahoma"/>
          <w:bCs/>
          <w:sz w:val="18"/>
          <w:szCs w:val="18"/>
        </w:rPr>
        <w:t xml:space="preserve"> nie dopuszcza się żadnych ograniczeń dotyczących użytkowania, w szczególności intensywności czy ilości wykonywanych procedur.</w:t>
      </w:r>
    </w:p>
    <w:sectPr w:rsidR="000C770F">
      <w:footerReference w:type="default" r:id="rId8"/>
      <w:pgSz w:w="11906" w:h="16838"/>
      <w:pgMar w:top="1440" w:right="1080" w:bottom="1440" w:left="108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51" w:rsidRDefault="0060389A">
      <w:pPr>
        <w:spacing w:after="0" w:line="240" w:lineRule="auto"/>
      </w:pPr>
      <w:r>
        <w:separator/>
      </w:r>
    </w:p>
  </w:endnote>
  <w:endnote w:type="continuationSeparator" w:id="0">
    <w:p w:rsidR="000D6A51" w:rsidRDefault="0060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70F" w:rsidRDefault="0060389A">
    <w:pPr>
      <w:pStyle w:val="Stopka"/>
      <w:jc w:val="center"/>
    </w:pPr>
    <w:r>
      <w:rPr>
        <w:rFonts w:ascii="Tahoma" w:hAnsi="Tahoma"/>
        <w:sz w:val="18"/>
        <w:szCs w:val="18"/>
      </w:rPr>
      <w:t xml:space="preserve">Strona </w:t>
    </w:r>
    <w:r>
      <w:rPr>
        <w:rFonts w:ascii="Tahoma" w:hAnsi="Tahoma"/>
        <w:b/>
        <w:bCs/>
        <w:sz w:val="18"/>
        <w:szCs w:val="18"/>
      </w:rPr>
      <w:fldChar w:fldCharType="begin"/>
    </w:r>
    <w:r>
      <w:rPr>
        <w:rFonts w:ascii="Tahoma" w:hAnsi="Tahoma"/>
        <w:b/>
        <w:bCs/>
        <w:sz w:val="18"/>
        <w:szCs w:val="18"/>
      </w:rPr>
      <w:instrText>PAGE</w:instrText>
    </w:r>
    <w:r>
      <w:rPr>
        <w:rFonts w:ascii="Tahoma" w:hAnsi="Tahoma"/>
        <w:b/>
        <w:bCs/>
        <w:sz w:val="18"/>
        <w:szCs w:val="18"/>
      </w:rPr>
      <w:fldChar w:fldCharType="separate"/>
    </w:r>
    <w:r w:rsidR="00FE3201">
      <w:rPr>
        <w:rFonts w:ascii="Tahoma" w:hAnsi="Tahoma"/>
        <w:b/>
        <w:bCs/>
        <w:noProof/>
        <w:sz w:val="18"/>
        <w:szCs w:val="18"/>
      </w:rPr>
      <w:t>3</w:t>
    </w:r>
    <w:r>
      <w:rPr>
        <w:rFonts w:ascii="Tahoma" w:hAnsi="Tahoma"/>
        <w:b/>
        <w:bCs/>
        <w:sz w:val="18"/>
        <w:szCs w:val="18"/>
      </w:rPr>
      <w:fldChar w:fldCharType="end"/>
    </w:r>
    <w:r>
      <w:rPr>
        <w:rFonts w:ascii="Tahoma" w:hAnsi="Tahoma"/>
        <w:sz w:val="18"/>
        <w:szCs w:val="18"/>
      </w:rPr>
      <w:t xml:space="preserve"> z </w:t>
    </w:r>
    <w:r>
      <w:rPr>
        <w:rFonts w:ascii="Tahoma" w:hAnsi="Tahoma"/>
        <w:b/>
        <w:bCs/>
        <w:sz w:val="18"/>
        <w:szCs w:val="18"/>
      </w:rPr>
      <w:fldChar w:fldCharType="begin"/>
    </w:r>
    <w:r>
      <w:rPr>
        <w:rFonts w:ascii="Tahoma" w:hAnsi="Tahoma"/>
        <w:b/>
        <w:bCs/>
        <w:sz w:val="18"/>
        <w:szCs w:val="18"/>
      </w:rPr>
      <w:instrText>NUMPAGES</w:instrText>
    </w:r>
    <w:r>
      <w:rPr>
        <w:rFonts w:ascii="Tahoma" w:hAnsi="Tahoma"/>
        <w:b/>
        <w:bCs/>
        <w:sz w:val="18"/>
        <w:szCs w:val="18"/>
      </w:rPr>
      <w:fldChar w:fldCharType="separate"/>
    </w:r>
    <w:r w:rsidR="00FE3201">
      <w:rPr>
        <w:rFonts w:ascii="Tahoma" w:hAnsi="Tahoma"/>
        <w:b/>
        <w:bCs/>
        <w:noProof/>
        <w:sz w:val="18"/>
        <w:szCs w:val="18"/>
      </w:rPr>
      <w:t>3</w:t>
    </w:r>
    <w:r>
      <w:rPr>
        <w:rFonts w:ascii="Tahoma" w:hAnsi="Tahoma"/>
        <w:b/>
        <w:bCs/>
        <w:sz w:val="18"/>
        <w:szCs w:val="18"/>
      </w:rPr>
      <w:fldChar w:fldCharType="end"/>
    </w:r>
  </w:p>
  <w:p w:rsidR="000C770F" w:rsidRDefault="000C77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51" w:rsidRDefault="0060389A">
      <w:pPr>
        <w:spacing w:after="0" w:line="240" w:lineRule="auto"/>
      </w:pPr>
      <w:r>
        <w:separator/>
      </w:r>
    </w:p>
  </w:footnote>
  <w:footnote w:type="continuationSeparator" w:id="0">
    <w:p w:rsidR="000D6A51" w:rsidRDefault="0060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DB3C03"/>
    <w:multiLevelType w:val="multilevel"/>
    <w:tmpl w:val="15EE8B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0F"/>
    <w:rsid w:val="000C770F"/>
    <w:rsid w:val="000D6A51"/>
    <w:rsid w:val="005C56C9"/>
    <w:rsid w:val="0060389A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Poprawka">
    <w:name w:val="Revisio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Poprawka">
    <w:name w:val="Revisio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Magdalena Kołdon</cp:lastModifiedBy>
  <cp:revision>3</cp:revision>
  <cp:lastPrinted>2019-10-16T11:25:00Z</cp:lastPrinted>
  <dcterms:created xsi:type="dcterms:W3CDTF">2019-11-04T12:12:00Z</dcterms:created>
  <dcterms:modified xsi:type="dcterms:W3CDTF">2019-11-04T12:19:00Z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