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94" w:rsidRPr="002C55C7" w:rsidRDefault="00301B94" w:rsidP="00301B94">
      <w:pPr>
        <w:overflowPunct w:val="0"/>
        <w:autoSpaceDE w:val="0"/>
        <w:ind w:right="-1"/>
        <w:jc w:val="right"/>
        <w:rPr>
          <w:rFonts w:ascii="Asap" w:hAnsi="Asap" w:cs="Tahoma"/>
          <w:b/>
          <w:sz w:val="20"/>
          <w:szCs w:val="20"/>
          <w:u w:val="single"/>
        </w:rPr>
      </w:pPr>
      <w:r w:rsidRPr="002C55C7">
        <w:rPr>
          <w:rFonts w:ascii="Asap" w:hAnsi="Asap" w:cs="Tahoma"/>
          <w:b/>
          <w:sz w:val="20"/>
          <w:szCs w:val="20"/>
          <w:u w:val="single"/>
        </w:rPr>
        <w:t>Z</w:t>
      </w:r>
      <w:r>
        <w:rPr>
          <w:rFonts w:ascii="Asap" w:hAnsi="Asap" w:cs="Tahoma"/>
          <w:b/>
          <w:sz w:val="20"/>
          <w:szCs w:val="20"/>
          <w:u w:val="single"/>
        </w:rPr>
        <w:t>modyfikowany z</w:t>
      </w:r>
      <w:r w:rsidRPr="002C55C7">
        <w:rPr>
          <w:rFonts w:ascii="Asap" w:hAnsi="Asap" w:cs="Tahoma"/>
          <w:b/>
          <w:sz w:val="20"/>
          <w:szCs w:val="20"/>
          <w:u w:val="single"/>
        </w:rPr>
        <w:t>ałącznik nr 3 do SIWZ</w:t>
      </w:r>
    </w:p>
    <w:p w:rsidR="00301B94" w:rsidRPr="002C55C7" w:rsidRDefault="00301B94" w:rsidP="00301B94">
      <w:pPr>
        <w:overflowPunct w:val="0"/>
        <w:autoSpaceDE w:val="0"/>
        <w:ind w:right="-1"/>
        <w:jc w:val="right"/>
        <w:rPr>
          <w:rFonts w:ascii="Asap" w:hAnsi="Asap" w:cs="Tahoma"/>
          <w:b/>
          <w:sz w:val="20"/>
          <w:szCs w:val="20"/>
          <w:u w:val="single"/>
        </w:rPr>
      </w:pPr>
    </w:p>
    <w:p w:rsidR="00301B94" w:rsidRPr="002C55C7" w:rsidRDefault="00301B94" w:rsidP="00301B94">
      <w:pPr>
        <w:overflowPunct w:val="0"/>
        <w:autoSpaceDE w:val="0"/>
        <w:ind w:right="-1"/>
        <w:jc w:val="center"/>
        <w:rPr>
          <w:rFonts w:ascii="Asap" w:hAnsi="Asap" w:cs="Tahoma"/>
          <w:b/>
          <w:sz w:val="20"/>
          <w:szCs w:val="20"/>
        </w:rPr>
      </w:pPr>
      <w:r w:rsidRPr="002C55C7">
        <w:rPr>
          <w:rFonts w:ascii="Asap" w:hAnsi="Asap" w:cs="Tahoma"/>
          <w:b/>
          <w:sz w:val="20"/>
          <w:szCs w:val="20"/>
        </w:rPr>
        <w:t>OPIS PRZEDMIOTU ZAMÓWIENIA</w:t>
      </w:r>
    </w:p>
    <w:p w:rsidR="00301B94" w:rsidRPr="002C55C7" w:rsidRDefault="00301B94" w:rsidP="00301B94">
      <w:pPr>
        <w:overflowPunct w:val="0"/>
        <w:autoSpaceDE w:val="0"/>
        <w:ind w:right="-1"/>
        <w:jc w:val="right"/>
        <w:rPr>
          <w:rFonts w:ascii="Asap" w:hAnsi="Asap" w:cs="Tahoma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B94" w:rsidRPr="002C55C7" w:rsidTr="00C06BEF">
        <w:tc>
          <w:tcPr>
            <w:tcW w:w="9203" w:type="dxa"/>
            <w:shd w:val="clear" w:color="auto" w:fill="E7E6E6" w:themeFill="background2"/>
          </w:tcPr>
          <w:p w:rsidR="00301B94" w:rsidRPr="002C55C7" w:rsidRDefault="00301B94" w:rsidP="00C06BEF">
            <w:pPr>
              <w:overflowPunct w:val="0"/>
              <w:autoSpaceDE w:val="0"/>
              <w:ind w:right="-1"/>
              <w:jc w:val="both"/>
              <w:rPr>
                <w:rFonts w:ascii="Asap" w:hAnsi="Asap" w:cs="Tahoma"/>
                <w:b/>
                <w:sz w:val="20"/>
                <w:szCs w:val="20"/>
              </w:rPr>
            </w:pPr>
            <w:r w:rsidRPr="002C55C7">
              <w:rPr>
                <w:rFonts w:ascii="Asap" w:hAnsi="Asap" w:cs="Tahoma"/>
                <w:b/>
                <w:sz w:val="20"/>
                <w:szCs w:val="20"/>
              </w:rPr>
              <w:t xml:space="preserve">Pakiet nr 1 - Usługa serwisowa nad tomografem komputerowym </w:t>
            </w:r>
            <w:proofErr w:type="spellStart"/>
            <w:r w:rsidRPr="002C55C7">
              <w:rPr>
                <w:rFonts w:ascii="Asap" w:hAnsi="Asap" w:cs="Tahoma"/>
                <w:b/>
                <w:sz w:val="20"/>
                <w:szCs w:val="20"/>
              </w:rPr>
              <w:t>Aquilion</w:t>
            </w:r>
            <w:proofErr w:type="spellEnd"/>
            <w:r w:rsidRPr="002C55C7">
              <w:rPr>
                <w:rFonts w:ascii="Asap" w:hAnsi="Asap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C55C7">
              <w:rPr>
                <w:rFonts w:ascii="Asap" w:hAnsi="Asap" w:cs="Tahoma"/>
                <w:b/>
                <w:sz w:val="20"/>
                <w:szCs w:val="20"/>
              </w:rPr>
              <w:t>Prime</w:t>
            </w:r>
            <w:proofErr w:type="spellEnd"/>
            <w:r w:rsidRPr="002C55C7">
              <w:rPr>
                <w:rFonts w:ascii="Asap" w:hAnsi="Asap" w:cs="Tahoma"/>
                <w:b/>
                <w:sz w:val="20"/>
                <w:szCs w:val="20"/>
              </w:rPr>
              <w:t xml:space="preserve"> TSX-303A/AC firmy Toshiba wraz z wyposażeniem</w:t>
            </w:r>
          </w:p>
        </w:tc>
      </w:tr>
      <w:tr w:rsidR="00301B94" w:rsidRPr="002C55C7" w:rsidTr="00C06BEF">
        <w:tc>
          <w:tcPr>
            <w:tcW w:w="9203" w:type="dxa"/>
          </w:tcPr>
          <w:p w:rsidR="00301B94" w:rsidRPr="002C55C7" w:rsidRDefault="00301B94" w:rsidP="00C0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Zakres usługi serwisowej nad posiadanym przez SP ZOZ Zespół Szpitali Miejskich w Chorzowie sprzętem stanowiącym przedmiot zamówienia umowy serwisowej: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</w:p>
          <w:p w:rsidR="00301B94" w:rsidRPr="002C55C7" w:rsidRDefault="00301B94" w:rsidP="00C0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Asap" w:hAnsi="Asap" w:cs="Tahoma"/>
                <w:b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b/>
                <w:bCs/>
                <w:spacing w:val="-6"/>
                <w:sz w:val="20"/>
                <w:szCs w:val="20"/>
              </w:rPr>
              <w:t xml:space="preserve">Przeprowadzanie przeglądów okresowych/napraw tomografu komputerowego </w:t>
            </w:r>
            <w:proofErr w:type="spellStart"/>
            <w:r w:rsidRPr="002C55C7">
              <w:rPr>
                <w:rFonts w:ascii="Asap" w:hAnsi="Asap" w:cs="Tahoma"/>
                <w:b/>
                <w:bCs/>
                <w:spacing w:val="-6"/>
                <w:sz w:val="20"/>
                <w:szCs w:val="20"/>
              </w:rPr>
              <w:t>Aquilion</w:t>
            </w:r>
            <w:proofErr w:type="spellEnd"/>
            <w:r w:rsidRPr="002C55C7">
              <w:rPr>
                <w:rFonts w:ascii="Asap" w:hAnsi="Asap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C55C7">
              <w:rPr>
                <w:rFonts w:ascii="Asap" w:hAnsi="Asap" w:cs="Tahoma"/>
                <w:b/>
                <w:bCs/>
                <w:spacing w:val="-6"/>
                <w:sz w:val="20"/>
                <w:szCs w:val="20"/>
              </w:rPr>
              <w:t>Prime</w:t>
            </w:r>
            <w:proofErr w:type="spellEnd"/>
            <w:r w:rsidRPr="002C55C7">
              <w:rPr>
                <w:rFonts w:ascii="Asap" w:hAnsi="Asap" w:cs="Tahoma"/>
                <w:b/>
                <w:bCs/>
                <w:spacing w:val="-6"/>
                <w:sz w:val="20"/>
                <w:szCs w:val="20"/>
              </w:rPr>
              <w:t xml:space="preserve"> TSX-303A/AC produkcji Toshiba s/n ACA 1512059.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Asap" w:hAnsi="Asap" w:cs="Tahoma"/>
                <w:b/>
                <w:spacing w:val="-6"/>
                <w:sz w:val="20"/>
                <w:szCs w:val="20"/>
              </w:rPr>
            </w:pPr>
          </w:p>
          <w:p w:rsidR="00301B94" w:rsidRPr="002C55C7" w:rsidRDefault="00301B94" w:rsidP="00301B94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Opis przedmiotu zamówienia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W ramach umowy Zamawiający wymaga wykonania przeglądów technicznych w interwale czasowym zgodnym z zaleceniami producenta dla każdego aparatu/urządzenia. W pozostałym zakresie wymagane jest zagwarantowanie wizyt serwisowych dla potrzeb diagnostyki i usunięcia ewentualnych nieprawidłowości w funkcjonowaniu: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tomografu komputerowego Toshiba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Aquilion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Prime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TSX-303A/AC s/n ACA 1512059 – zwanym dalej tomografem,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stacji opisowy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ch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Vitrea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 - s/n CZC5071NHS, CZC5071NHT, CZC3021XFH wraz z monitorami Eizo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RadiForce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MX242W s/n 20177104, Eizo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RadiForce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MX242W s/n 20112104, Eizo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RadiForce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MX215 s/n 40249015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zasilacza UPS typ DCS-100000-3/3-12 100 KVA,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robota do zapisywania badań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Rimage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2000i s/n 10037667 wraz ze stacją HP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ProDesk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600G1 TWR s/n CZC5041TCR oraz monitorem Eizo s/n 25775034,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wstrzykiwacza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kontrastu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Medrad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s/n 100776.</w:t>
            </w:r>
          </w:p>
          <w:p w:rsidR="00301B94" w:rsidRPr="002C55C7" w:rsidRDefault="00301B94" w:rsidP="00C06BEF">
            <w:pPr>
              <w:pStyle w:val="Akapitzlist"/>
              <w:widowControl w:val="0"/>
              <w:shd w:val="clear" w:color="auto" w:fill="FFFFFF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311"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ab/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Wymienione urządzenia inne niż tomografu komputerowego  Toshiba 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Aquilion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Prime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TSX-303A/AC zwane będą dalej urządzeniami towarzyszącymi.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Wszystkie czynności podejmowane w ramach umowy serwisowej przy tomografie i urządzeniach towarzyszących powinny być wykonane przez  serwis posiadający uprawnienia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potwierdzone przez:</w:t>
            </w:r>
          </w:p>
          <w:p w:rsidR="00301B94" w:rsidRPr="002C55C7" w:rsidRDefault="00301B94" w:rsidP="00C06BEF">
            <w:pPr>
              <w:pStyle w:val="Akapitzlist"/>
              <w:widowControl w:val="0"/>
              <w:shd w:val="clear" w:color="auto" w:fill="FFFFFF"/>
              <w:autoSpaceDE w:val="0"/>
              <w:autoSpaceDN w:val="0"/>
              <w:adjustRightInd w:val="0"/>
              <w:ind w:left="311"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a)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ab/>
              <w:t>wytwórcę wyrobu medycznego, lub</w:t>
            </w:r>
          </w:p>
          <w:p w:rsidR="00301B94" w:rsidRPr="002C55C7" w:rsidRDefault="00301B94" w:rsidP="00C06BEF">
            <w:pPr>
              <w:pStyle w:val="Akapitzlist"/>
              <w:widowControl w:val="0"/>
              <w:shd w:val="clear" w:color="auto" w:fill="FFFFFF"/>
              <w:autoSpaceDE w:val="0"/>
              <w:autoSpaceDN w:val="0"/>
              <w:adjustRightInd w:val="0"/>
              <w:ind w:left="311"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b)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ab/>
              <w:t>autoryzowanego przedstawiciela wytwórcy wyrobu medycznego, lub</w:t>
            </w:r>
          </w:p>
          <w:p w:rsidR="00301B94" w:rsidRDefault="00301B94" w:rsidP="00C06BEF">
            <w:pPr>
              <w:pStyle w:val="Akapitzlist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c)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ab/>
              <w:t xml:space="preserve">inny podmiot szkolący </w:t>
            </w:r>
            <w:r w:rsidRPr="001130BB">
              <w:rPr>
                <w:rFonts w:ascii="Asap" w:hAnsi="Asap" w:cs="Tahoma"/>
                <w:b/>
                <w:strike/>
                <w:spacing w:val="-6"/>
                <w:sz w:val="20"/>
                <w:szCs w:val="20"/>
              </w:rPr>
              <w:t>niezwiązany w żaden sposób z Wykonawcą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, posiadający min. 2-letnie doświadczenie w prowadzeniu szkoleń z zakresu serwisowania urządzeń tomografu komputerowego,</w:t>
            </w:r>
          </w:p>
          <w:p w:rsidR="001130BB" w:rsidRPr="002C55C7" w:rsidRDefault="001130BB" w:rsidP="00C06BEF">
            <w:pPr>
              <w:pStyle w:val="Akapitzlist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1130BB">
              <w:rPr>
                <w:rFonts w:ascii="Asap" w:hAnsi="Asap" w:cs="Tahoma"/>
                <w:b/>
                <w:iCs/>
                <w:spacing w:val="-6"/>
                <w:sz w:val="20"/>
                <w:szCs w:val="20"/>
                <w:lang w:val="pl-PL"/>
              </w:rPr>
              <w:t>d) właściwy organ państwowy zgodnie z przepisami dotyczącymi praktycznej nauki zawodu</w:t>
            </w:r>
            <w:r>
              <w:rPr>
                <w:rFonts w:ascii="Asap" w:hAnsi="Asap" w:cs="Tahoma"/>
                <w:b/>
                <w:iCs/>
                <w:spacing w:val="-6"/>
                <w:sz w:val="20"/>
                <w:szCs w:val="20"/>
                <w:lang w:val="pl-PL"/>
              </w:rPr>
              <w:t>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Każdorazowa wizyta serwisowa – przegląd, naprawa lub diagnostyka -  zakończona musi być dokonaniem wpisu w paszporcie technicznym tomografu lub urządzenia towarzyszącego. W ramach wpisu o</w:t>
            </w:r>
            <w:bookmarkStart w:id="0" w:name="_GoBack"/>
            <w:bookmarkEnd w:id="0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pisane zostaną czynności serwisowe, chyba że Wykonawca wystawi Zamawiającemu raport z wykonanej usługi posiadający stosowny opis. Czynności serwisowe potwierdzone zostaną własnoręcznym podpisem Wykonawcy wraz z pieczęcią firmową.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Wykonywanie zalecanych przez producenta planowanych przeglądów okresowych tomografu (minimum 4 w ciągu roku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 -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wymóg 4 przeglądów technicznych dotyczy tomografu komputerowego. Pozostały sprzęt zgodnie z zaleceniami producenta raz w roku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) zakończone powinno być wydaniem certyfikatu - potwierdzającego jego sprawność oraz bezpieczeństwo w użytkowaniu dla personelu oraz pacjentów. Dokładny spis wykonanych czynności podczas przeglądu technicznego powinno być przedstawione za pomocą tzw. listy sprawdzenia z oznaczeniem ich wyniku – pozytywny/negatywny.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Zakres przeglądu dla tomografu powinien obejmować w szczególności następujące czynności: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94" w:right="-1" w:hanging="283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b/>
                <w:spacing w:val="-6"/>
                <w:sz w:val="20"/>
                <w:szCs w:val="20"/>
              </w:rPr>
              <w:t>konsola operatorska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(czyszczenie komputerów składowych konsoli, sprawdzenie poprawności działania wentylatorów chłodzących, czyszczenie wnętrza konsoli oraz filtrów, sprawdzenie poprawności działania obwodów bezpieczeństwa – wyłączniki awaryjne konsoli operatorskiej), oraz inne zalecane przez producenta sprzętu wymagane podczas przeglądu w odpowiednim interwale czasowym,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94" w:right="-1" w:hanging="283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proofErr w:type="spellStart"/>
            <w:r w:rsidRPr="002C55C7">
              <w:rPr>
                <w:rFonts w:ascii="Asap" w:hAnsi="Asap" w:cs="Tahoma"/>
                <w:b/>
                <w:spacing w:val="-6"/>
                <w:sz w:val="20"/>
                <w:szCs w:val="20"/>
              </w:rPr>
              <w:t>gantry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(demontaż i czyszczenie modułu szczotek ślizgowych, sprawdzenie stanu zużycia szczotek ślizgowych, sprawdzenie poprawności działania obwodów bezpieczeństwa – wyłączniki awaryjne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gantry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, smarowanie łożyska głównego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gantry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, pomiary i weryfikacja układów prądu ekspozycji oraz wysokiego napięcia), oraz inne zalecane przez producenta sprzętu wymagane podczas przeglądu w odpowiednim interwale czasowym,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94" w:right="-1" w:hanging="283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b/>
                <w:spacing w:val="-6"/>
                <w:sz w:val="20"/>
                <w:szCs w:val="20"/>
              </w:rPr>
              <w:t>stół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(sprawdzenie mechaniczne poprawności działania stołu pacjenta – ruch wzdłużny, ruch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up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/down, sprawdzenie poprawności działania obwodów bezpieczeństwa – wyłączniki awaryjne stołu), oraz inne zalecane przez producenta sprzętu wymagane podczas przeglądu w odpowiednim interwale czasowym,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94" w:right="-1" w:hanging="283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b/>
                <w:spacing w:val="-6"/>
                <w:sz w:val="20"/>
                <w:szCs w:val="20"/>
              </w:rPr>
              <w:t>system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(sprawdzenie logów systemowych pod względem błędów krytycznych, sprawdzenie stanu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lastRenderedPageBreak/>
              <w:t xml:space="preserve">technicznego lampy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rtg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– podanie ilości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scanów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, ilość ewentualnych błędów ekspozycji, sprawdzenie jakości oraz poprawności odwzorowania obrazów TK) oraz inne zalecane przez producenta sprzętu wymagane podczas przeglądu w odpowiednim interwale czasowym,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94" w:right="-1" w:hanging="283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b/>
                <w:spacing w:val="-6"/>
                <w:sz w:val="20"/>
                <w:szCs w:val="20"/>
              </w:rPr>
              <w:t>elementy składowe dla funkcji fluoroskopii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(monitor i wózek z panelem sterowania) - zalecane przez producenta sprzętu wymagane podczas przeglądu w odpowiednim interwale czasowym,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4" w:right="-1" w:hanging="283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b/>
                <w:spacing w:val="-6"/>
                <w:sz w:val="20"/>
                <w:szCs w:val="20"/>
              </w:rPr>
              <w:t>oprogramowanie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– wykonanie wymaganych aktualizacji systemu operacyjnego oraz aplikacji klienckich na wszystkich podzespołach objętych przeglądem, a w razie konieczności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reinstalacja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systemu operacyjnego i aplikacji klienckich oraz bazy danych.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 Zamawiający wymaga aktualizacji oprogramowania zgodnie z zaleceniami producenta.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W pozostałym zakresie Zamawiający wymaga: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zapewnienia niezbędnych do napraw części zamiennych, których wymiana będzie każdorazowo uzgadniana z Zamawiającym. Cena podzespołu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m.in. części do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tomografu komputerowego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,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stacji opisowych wraz z monitorami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, zasilacza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przedstawiona zostanie w oparciu o ofertę cenową  bez zbędnej zwłoki. W przypadku akceptacji oferty Wykonawca dostarczy oraz wymieni części bez zbędnej zwłoki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. W przypadku części do robota do zapisywania badań oraz monitora  Eizo s/n 25775034,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wstrzykiwacza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 kontrastu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Medrad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 Wykonawca zobowiązany jest wycenić je w ramach wartości oferty.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wymiany lampy w aparacie Toshiba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Aquilion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Prime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TSX-303A/AC w opcji na żądanie w trakcie trwania umowy lub na koniec jej trwania. Z tytułu wymiany lampy Zamawiający nie poniesie żadnych dodatkowych kosztów. Zamawiający wymaga aby lampa była fabrycznie nowa, a przy jej dostarczeniu/montażu Wykonawca dostarczył dokumenty określające jej datę produkcji. Okres gwarancji na wymienioną lampę nie może być krótszy niż </w:t>
            </w:r>
            <w:r w:rsidR="0007525E" w:rsidRPr="0007525E">
              <w:rPr>
                <w:rFonts w:ascii="Asap" w:hAnsi="Asap" w:cs="Tahoma"/>
                <w:b/>
                <w:spacing w:val="-6"/>
                <w:sz w:val="20"/>
                <w:szCs w:val="20"/>
                <w:lang w:val="pl-PL"/>
              </w:rPr>
              <w:t>12</w:t>
            </w:r>
            <w:r w:rsidRPr="0007525E">
              <w:rPr>
                <w:rFonts w:ascii="Asap" w:hAnsi="Asap" w:cs="Tahoma"/>
                <w:b/>
                <w:spacing w:val="-6"/>
                <w:sz w:val="20"/>
                <w:szCs w:val="20"/>
              </w:rPr>
              <w:t xml:space="preserve"> </w:t>
            </w:r>
            <w:r w:rsidR="0007525E" w:rsidRPr="0007525E">
              <w:rPr>
                <w:rFonts w:ascii="Asap" w:hAnsi="Asap" w:cs="Tahoma"/>
                <w:b/>
                <w:spacing w:val="-6"/>
                <w:sz w:val="20"/>
                <w:szCs w:val="20"/>
              </w:rPr>
              <w:t>miesi</w:t>
            </w:r>
            <w:r w:rsidR="0007525E" w:rsidRPr="0007525E">
              <w:rPr>
                <w:rFonts w:ascii="Asap" w:hAnsi="Asap" w:cs="Tahoma"/>
                <w:b/>
                <w:spacing w:val="-6"/>
                <w:sz w:val="20"/>
                <w:szCs w:val="20"/>
                <w:lang w:val="pl-PL"/>
              </w:rPr>
              <w:t>ęcy</w:t>
            </w:r>
            <w:r w:rsidRPr="0007525E">
              <w:rPr>
                <w:rFonts w:ascii="Asap" w:hAnsi="Asap" w:cs="Tahoma"/>
                <w:b/>
                <w:spacing w:val="-6"/>
                <w:sz w:val="20"/>
                <w:szCs w:val="20"/>
              </w:rPr>
              <w:t xml:space="preserve">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licząc od daty instalacji. Czynności związane z wymianą lampy wykonane zostaną bez zbędnej zwłoki, a ich zakończenie nie przekroczy 5 dni roboczych,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zapewnienia części zamiennych niezbędnych do wykonania przeglądów technicznych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zapewnienia pracy inżynierów serwisowych wraz kosztami dojazdu,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zapewnienia zdalnego diagnozowania uszkodzeń oraz napraw oprogramowania poprzez sieć komputerową (zdalna diagnostyka serwisowa),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możliwości natychmiastowego wezwania serwisu do wykonania prac naprawczych i diagnostycznych,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czasu reakcji serwisu przy urządzeniu od zgłoszenia uszkodzenia wynosi maksymalnie 2 dni robocze,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zakończenia działań serwisowych i przywrócenie pełnej sprawności aparatu Toshiba 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Aquilion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Prime</w:t>
            </w:r>
            <w:proofErr w:type="spellEnd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TSX-303A/AC w czasie nie dłuższym niż 3 dni robocze (o ile naprawa nie będzie wymagała wymiany części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 xml:space="preserve"> sprowadzanych z zagranicy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).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Wykonywane naprawy serwisowej/przeglądu okresowego musi być potwierdzone odpowiednim wpisem do paszportu technicznego urządzenia oraz wystawieniem raportu serwisowego. Dokonane wpisy powinny być potwierdzone własnoręcznym podpisem, wraz z pieczęcią firmową imienną. Po wykonanym przeglądzie Wykonawca dostarczy Zamawiającemu certyfikat sprawności urządzenia.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Wykonawca udzieli gwarancji na wykonane prace serwisowe na okres co najmniej 3 miesięcy, natomiast na dostarczone części zamienne udziela gwarancji na okres przewidziany przez producenta części jednak nie krótszy niż 12 miesięcy, a lampy na okres </w:t>
            </w:r>
            <w:r w:rsidR="0007525E" w:rsidRPr="0007525E">
              <w:rPr>
                <w:rFonts w:ascii="Asap" w:hAnsi="Asap" w:cs="Tahoma"/>
                <w:b/>
                <w:spacing w:val="-6"/>
                <w:sz w:val="20"/>
                <w:szCs w:val="20"/>
                <w:lang w:val="pl-PL"/>
              </w:rPr>
              <w:t>12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miesięcy. Wykonawca zobowiązany jest przekazać zamawiającemu po montażu części dokument potwierdzający zakres prac, opisujący wykonane czynności podczas naprawy oraz wykaz wymienionych części wraz z kartą gwarancyjną</w:t>
            </w:r>
            <w:r w:rsidR="0007525E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.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Zamawiający wymaga, żeby części zamienne zaoferowane i dostarczone przez Wykonawcę były fabrycznie nowe.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Podmiot przystępujący do przetargu powinien (wymagane załączenie oświadczenia):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dysponować zapleczem technicznym wystarczającym do wykonania zadania w sposób zapewniający sprawne i bezpieczne działanie urządzenia,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dysponować częściami zamiennymi (nowymi, dedykowanymi przez producenta lub równoważnymi – o parametrach nieodbiegających od nowych oryginalnych, dedykowanych przez producenta części zamiennych),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dysponować częściami zużywalnymi i materiałami eksploatacyjnymi (nowymi, dedykowanymi przez producenta lub równoważnymi – o parametrach nieodbiegających od nowych oryginalnych, dedykowanych przez producenta części zużywalnych i materiałów eksploatacyjnych),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Zamawiający oczekuje zastosowania części zamiennych nowych, dedykowanych przez producenta lub równoważnych  – o parametrach nieodbiegających od nowych oryginalnych, dedykowanych przez producenta części zamiennych Zamawiający precyzuje, że zapisy dotyczące części zamiennych w każdym wypadku dotyczą części nowych, nowych oryginalnych lub nowych równoważnych. 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posiadać określone przez wytwórcę instrukcje serwisowe wyrobu, zatrudniać osoby posiadające kwalifikacje i doświadczenie zawodowe pozwalające na wykonanie zadania w sposób zapewniający sprawne i bezpieczne działanie urządzenia.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lastRenderedPageBreak/>
              <w:t>Zamawiający zastrzega sobie prawo udziału we wszystkich czynnościach serwisowych wyznaczonej osoby będącej pracownikiem Zamawiającego. Pracownik Zamawiającego będzie uczestniczył w przedmiotowych czynnościach w charakterze obserwatora. W razie konieczności pracownicy Wykonawcy udzielą pracownikowi Zamawiającego wyjaśnień dotyczących realizowanych procedur. Zamawiający zobowiązuje się, że nie będzie przekazywał uzyskanych informacji jakimkolwiek podmiotom trzecim. O planowanych terminach interwencji serwisowych Wykonawca będzie wcześniej informował Zamawiającego celem umożliwienia udziału pracownika Zamawiającego.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284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Zaoferowana cena winna obejmować wszystkie koszty związane z wykonaniem usługi, w tym opracowania i dostarczenia wszystkich wymaganych poświadczeń sprawności oraz:</w:t>
            </w:r>
          </w:p>
          <w:p w:rsidR="00301B94" w:rsidRPr="002C55C7" w:rsidRDefault="00301B94" w:rsidP="003B4DA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koszty związane z wykonaniem zakresu opisanego w OPZ,</w:t>
            </w:r>
          </w:p>
          <w:p w:rsidR="003B4DA0" w:rsidRPr="003B4DA0" w:rsidRDefault="003B4DA0" w:rsidP="003B4DA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3B4DA0">
              <w:rPr>
                <w:rFonts w:ascii="Asap" w:hAnsi="Asap" w:cs="Tahoma"/>
                <w:b/>
                <w:spacing w:val="-6"/>
                <w:sz w:val="20"/>
                <w:szCs w:val="20"/>
              </w:rPr>
              <w:t xml:space="preserve">koszty części do robota oraz monitora Eizo i </w:t>
            </w:r>
            <w:proofErr w:type="spellStart"/>
            <w:r w:rsidRPr="003B4DA0">
              <w:rPr>
                <w:rFonts w:ascii="Asap" w:hAnsi="Asap" w:cs="Tahoma"/>
                <w:b/>
                <w:spacing w:val="-6"/>
                <w:sz w:val="20"/>
                <w:szCs w:val="20"/>
              </w:rPr>
              <w:t>wstrzykiwacza</w:t>
            </w:r>
            <w:proofErr w:type="spellEnd"/>
            <w:r w:rsidRPr="003B4DA0">
              <w:rPr>
                <w:rFonts w:ascii="Asap" w:hAnsi="Asap" w:cs="Tahoma"/>
                <w:b/>
                <w:spacing w:val="-6"/>
                <w:sz w:val="20"/>
                <w:szCs w:val="20"/>
              </w:rPr>
              <w:t xml:space="preserve"> kontrastu</w:t>
            </w:r>
            <w:r w:rsidRPr="003B4DA0">
              <w:rPr>
                <w:rFonts w:ascii="Asap" w:hAnsi="Asap" w:cs="Tahoma"/>
                <w:spacing w:val="-6"/>
                <w:sz w:val="20"/>
                <w:szCs w:val="20"/>
              </w:rPr>
              <w:t xml:space="preserve"> niezbędnych do wykonania przeglądów technicznych,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koszt wymiany lampy,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koszty dojazdu pracowników,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koszty roboczogodzin,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koszty transportu wszystkich materiałów koniecznych do przeprowadzenia przeglądów,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wszystkie inne koszty związane z realizacją przedmiotu zamówienia, także niewymienione powyżej, a które miały wpływ na cenę oferty.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Terminy ewentualnych czynności serwisowych wymagających przestoju aparatu muszą być każdorazowo ustalane z użytkownikiem.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Nie dopuszcza się żadnych ograniczeń dotyczących intensywności użytkowania aparatu, w szczególności ilości skanów.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Wykonawca powinien posiadać ubezpieczenie od odpowiedzialności cywilnej z tytułu wykonywanej działalności na sumę gwarancyjną minimum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600 000,00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 zł obejmujące cały okres obowiązywania umowy.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11" w:right="-1" w:hanging="311"/>
              <w:jc w:val="both"/>
              <w:rPr>
                <w:rFonts w:ascii="Asap" w:hAnsi="Asap" w:cs="Tahoma"/>
                <w:spacing w:val="-6"/>
                <w:sz w:val="20"/>
                <w:szCs w:val="20"/>
              </w:rPr>
            </w:pP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Wykonawca ponosi pełną odpowiedzialność za czynności będące przedmiotem umowy.</w:t>
            </w:r>
          </w:p>
        </w:tc>
      </w:tr>
    </w:tbl>
    <w:p w:rsidR="00301B94" w:rsidRPr="002C55C7" w:rsidRDefault="00301B94" w:rsidP="00301B94">
      <w:pPr>
        <w:overflowPunct w:val="0"/>
        <w:autoSpaceDE w:val="0"/>
        <w:ind w:right="-1"/>
        <w:rPr>
          <w:rFonts w:ascii="Asap" w:hAnsi="Asap" w:cs="Tahoma"/>
          <w:b/>
          <w:sz w:val="20"/>
          <w:szCs w:val="20"/>
          <w:highlight w:val="yellow"/>
          <w:u w:val="single"/>
        </w:rPr>
      </w:pPr>
      <w:r w:rsidRPr="002C55C7">
        <w:rPr>
          <w:rFonts w:ascii="Asap" w:hAnsi="Asap" w:cs="Tahoma"/>
          <w:b/>
          <w:sz w:val="20"/>
          <w:szCs w:val="20"/>
          <w:highlight w:val="yellow"/>
          <w:u w:val="single"/>
        </w:rPr>
        <w:lastRenderedPageBreak/>
        <w:br w:type="page"/>
      </w:r>
    </w:p>
    <w:p w:rsidR="00301B94" w:rsidRPr="002C55C7" w:rsidRDefault="00301B94" w:rsidP="00301B94">
      <w:pPr>
        <w:overflowPunct w:val="0"/>
        <w:autoSpaceDE w:val="0"/>
        <w:ind w:right="-1"/>
        <w:jc w:val="right"/>
        <w:rPr>
          <w:rFonts w:ascii="Asap" w:hAnsi="Asap" w:cs="Tahoma"/>
          <w:b/>
          <w:sz w:val="20"/>
          <w:szCs w:val="20"/>
          <w:u w:val="single"/>
        </w:rPr>
      </w:pPr>
      <w:r w:rsidRPr="002C55C7">
        <w:rPr>
          <w:rFonts w:ascii="Asap" w:hAnsi="Asap" w:cs="Tahoma"/>
          <w:b/>
          <w:sz w:val="20"/>
          <w:szCs w:val="20"/>
          <w:u w:val="single"/>
        </w:rPr>
        <w:lastRenderedPageBreak/>
        <w:t>Z</w:t>
      </w:r>
      <w:r>
        <w:rPr>
          <w:rFonts w:ascii="Asap" w:hAnsi="Asap" w:cs="Tahoma"/>
          <w:b/>
          <w:sz w:val="20"/>
          <w:szCs w:val="20"/>
          <w:u w:val="single"/>
        </w:rPr>
        <w:t>modyfikowany z</w:t>
      </w:r>
      <w:r w:rsidRPr="002C55C7">
        <w:rPr>
          <w:rFonts w:ascii="Asap" w:hAnsi="Asap" w:cs="Tahoma"/>
          <w:b/>
          <w:sz w:val="20"/>
          <w:szCs w:val="20"/>
          <w:u w:val="single"/>
        </w:rPr>
        <w:t>ałącznik nr 3 do SIWZ</w:t>
      </w:r>
    </w:p>
    <w:p w:rsidR="00301B94" w:rsidRPr="002C55C7" w:rsidRDefault="00301B94" w:rsidP="00301B94">
      <w:pPr>
        <w:overflowPunct w:val="0"/>
        <w:autoSpaceDE w:val="0"/>
        <w:ind w:right="-1"/>
        <w:jc w:val="center"/>
        <w:rPr>
          <w:rFonts w:ascii="Asap" w:hAnsi="Asap" w:cs="Tahoma"/>
          <w:b/>
          <w:sz w:val="20"/>
          <w:szCs w:val="20"/>
        </w:rPr>
      </w:pPr>
      <w:r w:rsidRPr="002C55C7">
        <w:rPr>
          <w:rFonts w:ascii="Asap" w:hAnsi="Asap" w:cs="Tahoma"/>
          <w:b/>
          <w:sz w:val="20"/>
          <w:szCs w:val="20"/>
        </w:rPr>
        <w:t>OPIS PRZEDMIOTU ZAMÓWIENIA</w:t>
      </w:r>
    </w:p>
    <w:p w:rsidR="00301B94" w:rsidRPr="002C55C7" w:rsidRDefault="00301B94" w:rsidP="00301B94">
      <w:pPr>
        <w:overflowPunct w:val="0"/>
        <w:autoSpaceDE w:val="0"/>
        <w:ind w:right="-1"/>
        <w:jc w:val="center"/>
        <w:rPr>
          <w:rFonts w:ascii="Asap" w:hAnsi="Asap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B94" w:rsidRPr="002C55C7" w:rsidTr="00C06BEF">
        <w:tc>
          <w:tcPr>
            <w:tcW w:w="9203" w:type="dxa"/>
            <w:shd w:val="clear" w:color="auto" w:fill="E7E6E6" w:themeFill="background2"/>
          </w:tcPr>
          <w:p w:rsidR="00301B94" w:rsidRPr="002C55C7" w:rsidRDefault="00301B94" w:rsidP="00C06BEF">
            <w:pPr>
              <w:overflowPunct w:val="0"/>
              <w:autoSpaceDE w:val="0"/>
              <w:ind w:right="-1"/>
              <w:jc w:val="both"/>
              <w:rPr>
                <w:rFonts w:ascii="Asap" w:hAnsi="Asap" w:cs="Tahoma"/>
                <w:b/>
                <w:sz w:val="20"/>
                <w:szCs w:val="20"/>
                <w:highlight w:val="yellow"/>
              </w:rPr>
            </w:pPr>
            <w:r w:rsidRPr="002C55C7">
              <w:rPr>
                <w:rFonts w:ascii="Asap" w:hAnsi="Asap" w:cs="Tahoma"/>
                <w:b/>
                <w:sz w:val="20"/>
                <w:szCs w:val="20"/>
              </w:rPr>
              <w:t xml:space="preserve">Pakiet nr 2 - Usługa serwisowa nad tomografem komputerowym </w:t>
            </w:r>
            <w:proofErr w:type="spellStart"/>
            <w:r w:rsidRPr="002C55C7">
              <w:rPr>
                <w:rFonts w:ascii="Asap" w:hAnsi="Asap" w:cs="Tahoma"/>
                <w:b/>
                <w:sz w:val="20"/>
                <w:szCs w:val="20"/>
              </w:rPr>
              <w:t>BrightSpeed</w:t>
            </w:r>
            <w:proofErr w:type="spellEnd"/>
            <w:r w:rsidRPr="002C55C7">
              <w:rPr>
                <w:rFonts w:ascii="Asap" w:hAnsi="Asap" w:cs="Tahoma"/>
                <w:b/>
                <w:sz w:val="20"/>
                <w:szCs w:val="20"/>
              </w:rPr>
              <w:t xml:space="preserve"> Elite 16 Select firmy GE wraz z wyposażeniem</w:t>
            </w:r>
          </w:p>
        </w:tc>
      </w:tr>
      <w:tr w:rsidR="00301B94" w:rsidRPr="002C55C7" w:rsidTr="00C06BEF">
        <w:tc>
          <w:tcPr>
            <w:tcW w:w="9203" w:type="dxa"/>
          </w:tcPr>
          <w:p w:rsidR="00301B94" w:rsidRPr="002C55C7" w:rsidRDefault="00301B94" w:rsidP="00C06BE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Zakres usługi serwisowej nad posiadanym przez SP ZOZ Zespół Szpitali Miejskich w Chorzowie sprzętem stanowiącym przedmiot zamówienia umowy serwisowej: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30"/>
              <w:jc w:val="both"/>
              <w:rPr>
                <w:rFonts w:ascii="Asap" w:hAnsi="Asap"/>
                <w:b/>
                <w:bCs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 xml:space="preserve">Pełne zabezpieczenie serwisowe tomografu komputerowego produkcji GE,                                                                  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30"/>
              <w:jc w:val="both"/>
              <w:rPr>
                <w:rFonts w:ascii="Asap" w:hAnsi="Asap"/>
                <w:b/>
                <w:bCs/>
                <w:sz w:val="20"/>
                <w:szCs w:val="20"/>
              </w:rPr>
            </w:pPr>
            <w:proofErr w:type="spellStart"/>
            <w:r w:rsidRPr="002C55C7">
              <w:rPr>
                <w:rFonts w:ascii="Asap" w:hAnsi="Asap"/>
                <w:b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2C55C7">
              <w:rPr>
                <w:rFonts w:ascii="Asap" w:hAnsi="Asap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5C7">
              <w:rPr>
                <w:rFonts w:ascii="Asap" w:hAnsi="Asap"/>
                <w:b/>
                <w:bCs/>
                <w:sz w:val="20"/>
                <w:szCs w:val="20"/>
                <w:lang w:val="en-US"/>
              </w:rPr>
              <w:t>BrightSpeed</w:t>
            </w:r>
            <w:proofErr w:type="spellEnd"/>
            <w:r w:rsidRPr="002C55C7">
              <w:rPr>
                <w:rFonts w:ascii="Asap" w:hAnsi="Asap"/>
                <w:b/>
                <w:bCs/>
                <w:sz w:val="20"/>
                <w:szCs w:val="20"/>
                <w:lang w:val="en-US"/>
              </w:rPr>
              <w:t xml:space="preserve"> Elite 16 Select,  </w:t>
            </w:r>
            <w:proofErr w:type="spellStart"/>
            <w:r w:rsidRPr="002C55C7">
              <w:rPr>
                <w:rFonts w:ascii="Asap" w:hAnsi="Asap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2C55C7">
              <w:rPr>
                <w:rFonts w:ascii="Asap" w:hAnsi="Asap"/>
                <w:b/>
                <w:sz w:val="20"/>
                <w:szCs w:val="20"/>
                <w:lang w:val="en-US"/>
              </w:rPr>
              <w:t xml:space="preserve"> ser. 246523HM5,</w:t>
            </w:r>
            <w:r w:rsidRPr="002C55C7">
              <w:rPr>
                <w:rFonts w:ascii="Asap" w:hAnsi="Asap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5C7">
              <w:rPr>
                <w:rFonts w:ascii="Asap" w:hAnsi="Asap"/>
                <w:b/>
                <w:bCs/>
                <w:sz w:val="20"/>
                <w:szCs w:val="20"/>
                <w:lang w:val="en-US"/>
              </w:rPr>
              <w:t>rok</w:t>
            </w:r>
            <w:proofErr w:type="spellEnd"/>
            <w:r w:rsidRPr="002C55C7">
              <w:rPr>
                <w:rFonts w:ascii="Asap" w:hAnsi="Asap"/>
                <w:b/>
                <w:bCs/>
                <w:sz w:val="20"/>
                <w:szCs w:val="20"/>
                <w:lang w:val="en-US"/>
              </w:rPr>
              <w:t xml:space="preserve"> prod. </w:t>
            </w:r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>2010, wraz z urządzeniami towarzyszącymi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30"/>
              <w:jc w:val="both"/>
              <w:rPr>
                <w:rFonts w:ascii="Asap" w:hAnsi="Asap"/>
                <w:b/>
                <w:bCs/>
                <w:sz w:val="20"/>
                <w:szCs w:val="20"/>
              </w:rPr>
            </w:pPr>
          </w:p>
          <w:p w:rsidR="00301B94" w:rsidRPr="002C55C7" w:rsidRDefault="00301B94" w:rsidP="00301B94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Opis przedmiotu zamówienia: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30"/>
              <w:jc w:val="both"/>
              <w:rPr>
                <w:rFonts w:ascii="Asap" w:hAnsi="Asap"/>
                <w:b/>
                <w:bCs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 xml:space="preserve">Pełne zabezpieczenie serwisowe tomografu komputerowego produkcji GE, typ </w:t>
            </w:r>
            <w:proofErr w:type="spellStart"/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>BrightSpeed</w:t>
            </w:r>
            <w:proofErr w:type="spellEnd"/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 xml:space="preserve"> Elite 16 Select,  </w:t>
            </w:r>
            <w:r w:rsidRPr="002C55C7">
              <w:rPr>
                <w:rFonts w:ascii="Asap" w:hAnsi="Asap"/>
                <w:b/>
                <w:sz w:val="20"/>
                <w:szCs w:val="20"/>
              </w:rPr>
              <w:t>nr ser. 246523HM5,</w:t>
            </w:r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 xml:space="preserve"> rok </w:t>
            </w:r>
            <w:proofErr w:type="spellStart"/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>prod</w:t>
            </w:r>
            <w:proofErr w:type="spellEnd"/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 xml:space="preserve"> 2010, wraz z urządzeniami towarzyszącymi: stacją opisową AW i zasilaczem UPS EATON. </w:t>
            </w:r>
          </w:p>
          <w:p w:rsidR="00301B94" w:rsidRPr="002C55C7" w:rsidRDefault="00301B94" w:rsidP="00C06BE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30"/>
              <w:jc w:val="both"/>
              <w:rPr>
                <w:rFonts w:ascii="Asap" w:hAnsi="Asap"/>
                <w:b/>
                <w:bCs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bCs/>
                <w:sz w:val="20"/>
                <w:szCs w:val="20"/>
              </w:rPr>
              <w:t xml:space="preserve">Zamówienie obejmuje realizację wszystkich czynności niezbędnych do utrzymania w pełnej sprawności urządzenia wraz z uzyskaniem wymaganych przepisami prawa poświadczeń.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311" w:right="-30" w:hanging="284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Zamówienie obejmuje w szczególności: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wykonywanie zalecanych przez producenta planowanych przeglądów okresowych (minimum 4 w ciągu roku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 xml:space="preserve"> -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  <w:lang w:val="pl-PL"/>
              </w:rPr>
              <w:t>wymóg 4 przeglądów technicznych dotyczy tomografu komputerowego. Pozostały sprzęt zgodnie z zaleceniami producenta raz w roku</w:t>
            </w:r>
            <w:r w:rsidRPr="002C55C7">
              <w:rPr>
                <w:rFonts w:ascii="Asap" w:hAnsi="Asap"/>
                <w:sz w:val="20"/>
                <w:szCs w:val="20"/>
              </w:rPr>
              <w:t>) wraz z wydaniem certyfikatu sprawności urządzenia potwierdzającego, że urządzenie jest sprawne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 xml:space="preserve"> 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i bezpieczne w użytkowaniu. </w:t>
            </w:r>
          </w:p>
          <w:p w:rsidR="00301B94" w:rsidRPr="002C55C7" w:rsidRDefault="00301B94" w:rsidP="00C06BEF">
            <w:pPr>
              <w:pStyle w:val="Akapitzlist"/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/>
              <w:jc w:val="both"/>
              <w:rPr>
                <w:rFonts w:ascii="Asap" w:hAnsi="Asap"/>
                <w:b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sz w:val="20"/>
                <w:szCs w:val="20"/>
              </w:rPr>
              <w:t xml:space="preserve">Zakres przeglądu powinien obejmować w szczególności następujące czynności: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878" w:right="-30" w:hanging="284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sz w:val="20"/>
                <w:szCs w:val="20"/>
              </w:rPr>
              <w:t>konsola operatorska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(czyszczenie komputerów składowych konsoli, sprawdzenie poprawności działania wentylatorów chłodzących, czyszczenie wnętrza konsoli oraz filtrów, sprawdzenie poprawności działania obwodów bezpieczeństwa – wyłączniki awaryjne konsoli operatorskiej),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878" w:right="-30" w:hanging="284"/>
              <w:jc w:val="both"/>
              <w:rPr>
                <w:rFonts w:ascii="Asap" w:hAnsi="Asap"/>
                <w:sz w:val="20"/>
                <w:szCs w:val="20"/>
              </w:rPr>
            </w:pPr>
            <w:proofErr w:type="spellStart"/>
            <w:r w:rsidRPr="002C55C7">
              <w:rPr>
                <w:rFonts w:ascii="Asap" w:hAnsi="Asap"/>
                <w:b/>
                <w:sz w:val="20"/>
                <w:szCs w:val="20"/>
              </w:rPr>
              <w:t>gantry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 xml:space="preserve"> (demontaż i czyszczenie modułu szczotek ślizgowych, sprawdzenie stanu zużycia szczotek ślizgowych, czyszczenie modułu slip-ring, czyszczenie zespołu DAS (filtry), sprawdzenie poprawności działania obwodów bezpieczeństwa – wyłączniki awaryjne 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gantry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 xml:space="preserve">, smarowanie łożyska głównego 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gantry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>, pomiary i weryfikacja układów prądu ekspozycji oraz wysokiego napięcia),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878" w:right="-30" w:hanging="284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sz w:val="20"/>
                <w:szCs w:val="20"/>
              </w:rPr>
              <w:t>stół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(sprawdzenie mechaniczne poprawności działania stołu pacjenta – ruch wzdłużny, ruch 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up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>/down, sprawdzenie poprawności działania obwodów bezpieczeństwa – wyłączniki awaryjne stołu, pływający stół),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878" w:right="-30" w:hanging="284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sz w:val="20"/>
                <w:szCs w:val="20"/>
              </w:rPr>
              <w:t>system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(sprawdzenie logów systemowych pod względem błędów krytycznych, sprawdzenie stanu technicznego lampy 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rtg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 xml:space="preserve"> – </w:t>
            </w:r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 xml:space="preserve">podanie ilości </w:t>
            </w:r>
            <w:proofErr w:type="spellStart"/>
            <w:r w:rsidRPr="002C55C7">
              <w:rPr>
                <w:rFonts w:ascii="Asap" w:hAnsi="Asap" w:cs="Tahoma"/>
                <w:spacing w:val="-6"/>
                <w:sz w:val="20"/>
                <w:szCs w:val="20"/>
              </w:rPr>
              <w:t>scanów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>, ilość ewentualnych błędów ekspozycji, sprawdzenie jakości oraz poprawności odwzorowania obrazów TK).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 xml:space="preserve">zapewnienie pracy inżynierów serwisowych, celem usuwania awarii wraz z kosztami dojazdu,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 xml:space="preserve">dostawa i wymiana wszystkich niezbędnych części zamiennych (łącznie z lampą 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rtg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 xml:space="preserve"> tomografu i detektorem) potrzebnych do usuwania występujących awarii urządzenia,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wykonywanie wszystkich niezbędnych napraw oprogramowania komputerowego potrzebnego do prawidłowej pracy tomografu,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 xml:space="preserve">w ramach 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>wartości oferty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Wykonawca zapewni szkolenia aplikacyjne w trakcie roku w wymiarze 2 wizyty po 4 godziny, szkolenia mają służyć w szczególności rozwiązywaniu bieżących problemów z protokołami badań, wprowadzaniu nowych i modyfikację istniejących protokołów, szkolenia będą realizowane na wniosek Zamawiającego,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zapewnienie zdalnego diagnozowania uszkodzeń oraz napraw oprogramowania poprzez sieć komputerową (zdalna diagnostyka serwisowa),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możliwość natychmiastowego wezwania serwisu do wykonania prac naprawczych i diagnostycznych,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czas reakcji serwisu przy urządzeniu od dnia zgłoszenia uszkodzenia, łącznie ze zdiagnozowaniem przyczyny awarii wynosi maksymalnie 1 dzień roboczy,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zakończenie działań serwisowych i przywrócenie pełnej sprawności tomografu wraz z dostarczeniem wymaganych poświadczeń w czasie nie dłuższym niż 2 dni robocze od dnia zdiagnozowania usterki, w przypadku konieczności sprowadzenia części z zagranicy termin ten ulega wydłużeniu do 4 dni,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 przypadku wykonania istotnych napraw: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1019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wykonanie testów akceptacyjnych wymaganych przez prawo, bez żądania dodatkowego wynagrodzenia z tytułu ich wykonywania;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1019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testy akceptacyjne, opracowane zgodnie z obowiązującymi w tym zakresie przepisami, Wykonawca przekaże Zamawiającemu;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1019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lastRenderedPageBreak/>
              <w:t>naprawę istotną uważa się za zakończoną, jeżeli wynik testów będzie pozytywny – to znaczy dopuszczający tomograf do bezpiecznego, zgodnego z przepisami użytkowania,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wraz z tomografem na analogicznych zasadach przeglądom zgodnie z zaleceniami producenta i ewentualnym  naprawom podlega również zasilacz UPS (pomieszczenie tomografu, producent EATON), stanowiący wyposażenie tomografu, który został zainstalowany podczas dostawy i uruchomienia tomografu,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 xml:space="preserve">wraz z tomografem na analogicznych zasadach przeglądom zgodnie z zaleceniami producenta i ewentualnym  naprawom podlega również stacja opisowa AW </w:t>
            </w:r>
            <w:r w:rsidRPr="00301B94">
              <w:rPr>
                <w:rFonts w:ascii="Asap" w:hAnsi="Asap"/>
                <w:b/>
                <w:sz w:val="20"/>
                <w:szCs w:val="20"/>
                <w:lang w:val="pl-PL"/>
              </w:rPr>
              <w:t>01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, </w:t>
            </w:r>
            <w:r w:rsidRPr="00301B94">
              <w:rPr>
                <w:rFonts w:ascii="Asap" w:hAnsi="Asap"/>
                <w:b/>
                <w:strike/>
                <w:sz w:val="20"/>
                <w:szCs w:val="20"/>
              </w:rPr>
              <w:t xml:space="preserve">łącznie z dostawą i wymianą monitorów jeżeli w trakcie trwania kontraktu przestaną one spełniać wymagania wynikające z przepisów prawa wraz z aktualizacją oprogramowania stacji opisowej.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 xml:space="preserve">wraz z tomografem na analogicznych zasadach przeglądom zgodnie z zaleceniami producenta i ewentualnym  naprawom podlega również nagrywarka płyt CD.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311" w:right="-30" w:hanging="311"/>
              <w:jc w:val="both"/>
              <w:rPr>
                <w:rFonts w:ascii="Asap" w:hAnsi="Asap"/>
                <w:b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sz w:val="20"/>
                <w:szCs w:val="20"/>
              </w:rPr>
              <w:t>Uszczegółowienie dot. zmówienia: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clear" w:pos="3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Wykonywane naprawy serwisowej / przeglądu okresowego musi być potwierdzone odpowiednim wpisem do paszportu technicznego urządzenia oraz reportu serwisowego. Dokonane wpisy powinny być potwierdzone własnoręcznym podpisem. Po wykonanym przeglądzie Wykonawca dostarczy certyfikat sprawności urządzenia.</w:t>
            </w:r>
          </w:p>
          <w:p w:rsidR="00301B94" w:rsidRPr="002C55C7" w:rsidRDefault="00301B94" w:rsidP="00301B94">
            <w:pPr>
              <w:pStyle w:val="Akapitzlist"/>
              <w:numPr>
                <w:ilvl w:val="3"/>
                <w:numId w:val="1"/>
              </w:numPr>
              <w:shd w:val="clear" w:color="auto" w:fill="FFFFFF"/>
              <w:tabs>
                <w:tab w:val="clear" w:pos="360"/>
              </w:tabs>
              <w:suppressAutoHyphens w:val="0"/>
              <w:autoSpaceDN w:val="0"/>
              <w:adjustRightInd w:val="0"/>
              <w:spacing w:line="240" w:lineRule="auto"/>
              <w:ind w:left="594" w:right="-30" w:hanging="283"/>
              <w:rPr>
                <w:rFonts w:ascii="Asap" w:hAnsi="Asap"/>
                <w:bCs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Wykonawca udzieli gwarancji na wykonane prace serwisowe na okres co najmniej 3 m-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cy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 xml:space="preserve">, natomiast na dostarczone części zamienne udziela gwarancji na okres przewidziany przez producenta części jednak nie krótszy niż 12 miesięcy, </w:t>
            </w:r>
            <w:r w:rsidRPr="002C55C7">
              <w:rPr>
                <w:rFonts w:ascii="Asap" w:hAnsi="Asap"/>
                <w:bCs/>
                <w:sz w:val="20"/>
                <w:szCs w:val="20"/>
              </w:rPr>
              <w:t xml:space="preserve">przy czym Wykonawca zobowiązany jest przekazać </w:t>
            </w:r>
            <w:r w:rsidRPr="002C55C7">
              <w:rPr>
                <w:rFonts w:ascii="Asap" w:hAnsi="Asap"/>
                <w:bCs/>
                <w:sz w:val="20"/>
                <w:szCs w:val="20"/>
                <w:lang w:val="pl-PL"/>
              </w:rPr>
              <w:t>Z</w:t>
            </w:r>
            <w:proofErr w:type="spellStart"/>
            <w:r w:rsidRPr="002C55C7">
              <w:rPr>
                <w:rFonts w:ascii="Asap" w:hAnsi="Asap"/>
                <w:bCs/>
                <w:sz w:val="20"/>
                <w:szCs w:val="20"/>
              </w:rPr>
              <w:t>amawiającemu</w:t>
            </w:r>
            <w:proofErr w:type="spellEnd"/>
            <w:r w:rsidRPr="002C55C7">
              <w:rPr>
                <w:rFonts w:ascii="Asap" w:hAnsi="Asap"/>
                <w:bCs/>
                <w:sz w:val="20"/>
                <w:szCs w:val="20"/>
              </w:rPr>
              <w:t xml:space="preserve"> po montażu części dokument potwierdzający zakres usterki (naprawy), wykonane czynności podczas naprawy oraz wykaz wymienionych części wraz z kartą gwarancyjną lub podobny dokument wystawiony przez producenta części.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clear" w:pos="3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Zamawiający wymaga, żeby części zamienne użyte do wykonywanych napraw były oryginalne oraz fabrycznie nowe.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="311" w:right="-30" w:hanging="284"/>
              <w:jc w:val="both"/>
              <w:rPr>
                <w:rFonts w:ascii="Asap" w:hAnsi="Asap"/>
                <w:b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sz w:val="20"/>
                <w:szCs w:val="20"/>
              </w:rPr>
              <w:t>Warunki udziału w postępowaniu: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Wykonawca przystępujący do postępowania powinien (zgodnie z ustawą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 xml:space="preserve"> z dnia 20 maja 2010 r.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o wyrobach medycznych; 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t.j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>. Dz. U. z 2020 r., poz. 186) dysponować określonym przez wytwórcę zapleczem technicznym, częściami zamiennymi, częściami zużywalnymi i materiałami eksploatacyjnymi, posiadać określone przez wytwórcę instrukcje serwisowe wyrobu, dysponować osobami posiadającymi określone przez wytwórcę kwalifikacje. Zamawiający wymaga złożenia przez Wykonawcę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 xml:space="preserve"> na wezwanie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oświadczenia o dysponowaniu w/w zasobami.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Wszystkie czynności serwisowe dotyczące sprzętu objętego umową musza być wykonywane i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> </w:t>
            </w:r>
            <w:r w:rsidRPr="002C55C7">
              <w:rPr>
                <w:rFonts w:ascii="Asap" w:hAnsi="Asap"/>
                <w:sz w:val="20"/>
                <w:szCs w:val="20"/>
              </w:rPr>
              <w:t>poświadczane w raporcie serwisowym przez osoby posiadające aktualne uprawnienia (certyfikat wydany przez:</w:t>
            </w:r>
          </w:p>
          <w:p w:rsidR="00301B94" w:rsidRPr="002C55C7" w:rsidRDefault="00301B94" w:rsidP="00C06BEF">
            <w:pPr>
              <w:pStyle w:val="Akapitzlist"/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4"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a)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 xml:space="preserve"> </w:t>
            </w:r>
            <w:r w:rsidRPr="002C55C7">
              <w:rPr>
                <w:rFonts w:ascii="Asap" w:hAnsi="Asap"/>
                <w:sz w:val="20"/>
                <w:szCs w:val="20"/>
              </w:rPr>
              <w:t>wytwórcę wyrobu medycznego, lub</w:t>
            </w:r>
          </w:p>
          <w:p w:rsidR="00301B94" w:rsidRPr="002C55C7" w:rsidRDefault="00301B94" w:rsidP="00C06BEF">
            <w:pPr>
              <w:pStyle w:val="Akapitzlist"/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4" w:right="-30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b)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 xml:space="preserve"> </w:t>
            </w:r>
            <w:r w:rsidRPr="002C55C7">
              <w:rPr>
                <w:rFonts w:ascii="Asap" w:hAnsi="Asap"/>
                <w:sz w:val="20"/>
                <w:szCs w:val="20"/>
              </w:rPr>
              <w:t>autoryzowanego przedstawiciela wytwórcy wyrobu medycznego, lub</w:t>
            </w:r>
          </w:p>
          <w:p w:rsidR="00301B94" w:rsidRPr="00301B94" w:rsidRDefault="00301B94" w:rsidP="00301B94">
            <w:pPr>
              <w:pStyle w:val="Akapitzlist"/>
              <w:ind w:left="594"/>
              <w:jc w:val="both"/>
              <w:rPr>
                <w:rFonts w:ascii="Asap" w:hAnsi="Asap"/>
                <w:iCs/>
                <w:sz w:val="20"/>
                <w:szCs w:val="20"/>
                <w:lang w:val="pl-PL"/>
              </w:rPr>
            </w:pPr>
            <w:r w:rsidRPr="00301B94">
              <w:rPr>
                <w:rFonts w:ascii="Asap" w:hAnsi="Asap"/>
                <w:iCs/>
                <w:sz w:val="20"/>
                <w:szCs w:val="20"/>
                <w:lang w:val="pl-PL"/>
              </w:rPr>
              <w:t xml:space="preserve">c) inny podmiot szkolący </w:t>
            </w:r>
            <w:r w:rsidRPr="00301B94">
              <w:rPr>
                <w:rFonts w:ascii="Asap" w:hAnsi="Asap"/>
                <w:b/>
                <w:iCs/>
                <w:strike/>
                <w:sz w:val="20"/>
                <w:szCs w:val="20"/>
                <w:lang w:val="pl-PL"/>
              </w:rPr>
              <w:t>niezwiązany w żaden sposób z Wykonawcą</w:t>
            </w:r>
            <w:r w:rsidRPr="00301B94">
              <w:rPr>
                <w:rFonts w:ascii="Asap" w:hAnsi="Asap"/>
                <w:iCs/>
                <w:sz w:val="20"/>
                <w:szCs w:val="20"/>
                <w:lang w:val="pl-PL"/>
              </w:rPr>
              <w:t>, posiadający min. 2-letnie doświadczenie w prowadzeniu szkoleń z zakresu serwisowania urządzeń tomografu komputerowego, do wykonywania przeglądów i napraw sprzętu będącego przedmiotem zamówienia</w:t>
            </w:r>
          </w:p>
          <w:p w:rsidR="00301B94" w:rsidRPr="00301B94" w:rsidRDefault="00301B94" w:rsidP="00301B94">
            <w:pPr>
              <w:pStyle w:val="Akapitzlist"/>
              <w:ind w:left="594"/>
              <w:jc w:val="both"/>
              <w:rPr>
                <w:rFonts w:ascii="Asap" w:hAnsi="Asap"/>
                <w:b/>
                <w:iCs/>
                <w:sz w:val="20"/>
                <w:szCs w:val="20"/>
                <w:lang w:val="pl-PL"/>
              </w:rPr>
            </w:pPr>
            <w:r w:rsidRPr="00301B94">
              <w:rPr>
                <w:rFonts w:ascii="Asap" w:hAnsi="Asap"/>
                <w:b/>
                <w:iCs/>
                <w:sz w:val="20"/>
                <w:szCs w:val="20"/>
                <w:lang w:val="pl-PL"/>
              </w:rPr>
              <w:t>d) właściwy organ państwowy zgodnie z przepisami dotyczącymi praktycznej nauki zawodu.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Zaoferowana cena winna obejmować wszystkie koszty związane z wykonaniem usługi, w tym opracowania i dostarczenia wszystkich wymaganych poświadczeń sprawności. Terminy ewentualnych czynności serwisowych wymagających przestoju aparatu muszą być każdorazowo ustalane z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> 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użytkownikiem sprzętu. 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 okresie obowiązywania umowy nie dopuszcza się żadnych ograniczeń dotyczących intensywności użytkowania aparatu, w szczególności ilości skanów.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Wykonawca powinien posiadać ubezpieczenie od odpowiedzialności cywilnej z tytułu wykonywanej działalności na sumę gwarancyjną min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>.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>300 000,00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zł obejmujące cały okres obowiązywania umowy.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Wykonawca ponosi pełną odpowiedzialność za czynności będące przedmiotem umowy.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>Płatności za wykonaną usługę będą rozłożone równomiernie w czasie obowiązywania umowy.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b/>
                <w:sz w:val="20"/>
                <w:szCs w:val="20"/>
              </w:rPr>
              <w:t>Szczegółowy zakres usług zawarty jest w dokumentacji techniczno-ruchowej oraz wytycznych serwisowych urządzenia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(tomografu komputerowego produkcji GE, typ </w:t>
            </w:r>
            <w:proofErr w:type="spellStart"/>
            <w:r w:rsidRPr="002C55C7">
              <w:rPr>
                <w:rFonts w:ascii="Asap" w:hAnsi="Asap"/>
                <w:sz w:val="20"/>
                <w:szCs w:val="20"/>
              </w:rPr>
              <w:t>BrightSpeed</w:t>
            </w:r>
            <w:proofErr w:type="spellEnd"/>
            <w:r w:rsidRPr="002C55C7">
              <w:rPr>
                <w:rFonts w:ascii="Asap" w:hAnsi="Asap"/>
                <w:sz w:val="20"/>
                <w:szCs w:val="20"/>
              </w:rPr>
              <w:t xml:space="preserve"> Elite 16 Select,  rok 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>produkcji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 2010)</w:t>
            </w:r>
          </w:p>
          <w:p w:rsidR="00301B94" w:rsidRPr="002C55C7" w:rsidRDefault="00301B94" w:rsidP="00301B94">
            <w:pPr>
              <w:pStyle w:val="Akapitzlist"/>
              <w:widowControl w:val="0"/>
              <w:numPr>
                <w:ilvl w:val="6"/>
                <w:numId w:val="1"/>
              </w:numPr>
              <w:shd w:val="clear" w:color="auto" w:fill="FFFFFF"/>
              <w:tabs>
                <w:tab w:val="clear" w:pos="504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594" w:right="-30" w:hanging="283"/>
              <w:jc w:val="both"/>
              <w:rPr>
                <w:rFonts w:ascii="Asap" w:hAnsi="Asap"/>
                <w:sz w:val="20"/>
                <w:szCs w:val="20"/>
              </w:rPr>
            </w:pPr>
            <w:r w:rsidRPr="002C55C7">
              <w:rPr>
                <w:rFonts w:ascii="Asap" w:hAnsi="Asap"/>
                <w:sz w:val="20"/>
                <w:szCs w:val="20"/>
              </w:rPr>
              <w:t xml:space="preserve">Zamawiający oczekuje zastosowania części zamiennych nowych, dedykowanych przez producenta lub równoważnych  – o parametrach nieodbiegających od nowych oryginalnych, dedykowanych przez </w:t>
            </w:r>
            <w:r w:rsidRPr="002C55C7">
              <w:rPr>
                <w:rFonts w:ascii="Asap" w:hAnsi="Asap"/>
                <w:sz w:val="20"/>
                <w:szCs w:val="20"/>
              </w:rPr>
              <w:lastRenderedPageBreak/>
              <w:t>producenta części zamiennych Zamawiający precyzuje, że zapisy dotyczące części zamiennych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 xml:space="preserve"> </w:t>
            </w:r>
            <w:r w:rsidRPr="002C55C7">
              <w:rPr>
                <w:rFonts w:ascii="Asap" w:hAnsi="Asap"/>
                <w:sz w:val="20"/>
                <w:szCs w:val="20"/>
              </w:rPr>
              <w:t>w</w:t>
            </w:r>
            <w:r w:rsidRPr="002C55C7">
              <w:rPr>
                <w:rFonts w:ascii="Asap" w:hAnsi="Asap"/>
                <w:sz w:val="20"/>
                <w:szCs w:val="20"/>
                <w:lang w:val="pl-PL"/>
              </w:rPr>
              <w:t> </w:t>
            </w:r>
            <w:r w:rsidRPr="002C55C7">
              <w:rPr>
                <w:rFonts w:ascii="Asap" w:hAnsi="Asap"/>
                <w:sz w:val="20"/>
                <w:szCs w:val="20"/>
              </w:rPr>
              <w:t xml:space="preserve">każdym wypadku dotyczą części nowych, nowych oryginalnych lub nowych równoważnych.  </w:t>
            </w:r>
          </w:p>
        </w:tc>
      </w:tr>
    </w:tbl>
    <w:p w:rsidR="00026EC9" w:rsidRDefault="00F42B0B"/>
    <w:sectPr w:rsidR="0002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006"/>
    <w:multiLevelType w:val="hybridMultilevel"/>
    <w:tmpl w:val="3FB8E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E64"/>
    <w:multiLevelType w:val="hybridMultilevel"/>
    <w:tmpl w:val="27F42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78ED"/>
    <w:multiLevelType w:val="hybridMultilevel"/>
    <w:tmpl w:val="E12869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F638E"/>
    <w:multiLevelType w:val="hybridMultilevel"/>
    <w:tmpl w:val="1B1A1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00FF"/>
    <w:multiLevelType w:val="multilevel"/>
    <w:tmpl w:val="D2EAEF58"/>
    <w:name w:val="WW8Num82"/>
    <w:lvl w:ilvl="0">
      <w:start w:val="5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Cs/>
        <w:sz w:val="18"/>
      </w:rPr>
    </w:lvl>
    <w:lvl w:ilvl="3">
      <w:start w:val="16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sap" w:hAnsi="Asap" w:cs="Tahoma" w:hint="default"/>
        <w:b w:val="0"/>
        <w:bCs w:val="0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  <w:sz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2C123A"/>
    <w:multiLevelType w:val="hybridMultilevel"/>
    <w:tmpl w:val="69DC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372FD"/>
    <w:multiLevelType w:val="hybridMultilevel"/>
    <w:tmpl w:val="57B65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514E"/>
    <w:multiLevelType w:val="hybridMultilevel"/>
    <w:tmpl w:val="C9E4D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CF6"/>
    <w:multiLevelType w:val="hybridMultilevel"/>
    <w:tmpl w:val="0916F60E"/>
    <w:lvl w:ilvl="0" w:tplc="FAECD1B6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" w15:restartNumberingAfterBreak="0">
    <w:nsid w:val="557C3EB1"/>
    <w:multiLevelType w:val="hybridMultilevel"/>
    <w:tmpl w:val="B61E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2564"/>
    <w:multiLevelType w:val="multilevel"/>
    <w:tmpl w:val="003C7C3E"/>
    <w:lvl w:ilvl="0">
      <w:start w:val="1"/>
      <w:numFmt w:val="bullet"/>
      <w:lvlText w:val=""/>
      <w:lvlJc w:val="left"/>
      <w:pPr>
        <w:tabs>
          <w:tab w:val="num" w:pos="683"/>
        </w:tabs>
        <w:ind w:left="683" w:hanging="323"/>
      </w:pPr>
      <w:rPr>
        <w:rFonts w:ascii="Wingdings" w:hAnsi="Wingdings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Cs/>
        <w:sz w:val="1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sap" w:hAnsi="Asap" w:cs="Tahoma" w:hint="default"/>
        <w:b w:val="0"/>
        <w:bCs w:val="0"/>
        <w:color w:val="000000"/>
        <w:sz w:val="20"/>
        <w:szCs w:val="20"/>
        <w:lang w:val="x-none"/>
      </w:rPr>
    </w:lvl>
    <w:lvl w:ilvl="4">
      <w:start w:val="1"/>
      <w:numFmt w:val="bullet"/>
      <w:lvlText w:val=""/>
      <w:lvlJc w:val="left"/>
      <w:pPr>
        <w:tabs>
          <w:tab w:val="num" w:pos="323"/>
        </w:tabs>
        <w:ind w:left="323" w:hanging="323"/>
      </w:pPr>
      <w:rPr>
        <w:rFonts w:ascii="Wingdings" w:hAnsi="Wingdings" w:hint="default"/>
        <w:sz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F72F7"/>
    <w:multiLevelType w:val="hybridMultilevel"/>
    <w:tmpl w:val="5C9AF93C"/>
    <w:lvl w:ilvl="0" w:tplc="AB78AE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5F4A94"/>
    <w:multiLevelType w:val="hybridMultilevel"/>
    <w:tmpl w:val="4518F496"/>
    <w:lvl w:ilvl="0" w:tplc="A518018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Asap" w:hAnsi="Asap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94"/>
    <w:rsid w:val="0007525E"/>
    <w:rsid w:val="001130BB"/>
    <w:rsid w:val="00301B94"/>
    <w:rsid w:val="003B4DA0"/>
    <w:rsid w:val="00755501"/>
    <w:rsid w:val="00DC77CD"/>
    <w:rsid w:val="00F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A506-282C-4EF5-AABA-0300B2F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B9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1B9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table" w:styleId="Tabela-Siatka">
    <w:name w:val="Table Grid"/>
    <w:basedOn w:val="Standardowy"/>
    <w:uiPriority w:val="39"/>
    <w:rsid w:val="00301B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2769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Gajowski</dc:creator>
  <cp:keywords/>
  <dc:description/>
  <cp:lastModifiedBy>Jacek Gajowski</cp:lastModifiedBy>
  <cp:revision>1</cp:revision>
  <dcterms:created xsi:type="dcterms:W3CDTF">2020-03-19T22:15:00Z</dcterms:created>
  <dcterms:modified xsi:type="dcterms:W3CDTF">2020-03-19T22:27:00Z</dcterms:modified>
</cp:coreProperties>
</file>