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EE06" w14:textId="71221B9B" w:rsidR="009B6E56" w:rsidRPr="00BE69D5" w:rsidRDefault="00321601" w:rsidP="009B6E56">
      <w:pPr>
        <w:jc w:val="right"/>
        <w:rPr>
          <w:rFonts w:ascii="Tahoma" w:hAnsi="Tahoma" w:cs="Arial"/>
          <w:b/>
          <w:noProof/>
          <w:sz w:val="20"/>
          <w:szCs w:val="20"/>
        </w:rPr>
      </w:pPr>
      <w:r w:rsidRPr="00BE69D5">
        <w:rPr>
          <w:rFonts w:ascii="Tahoma" w:hAnsi="Tahoma" w:cs="Arial"/>
          <w:b/>
          <w:noProof/>
          <w:sz w:val="20"/>
          <w:szCs w:val="20"/>
        </w:rPr>
        <w:t>Z</w:t>
      </w:r>
      <w:r w:rsidR="00BE69D5" w:rsidRPr="00BE69D5">
        <w:rPr>
          <w:rFonts w:ascii="Tahoma" w:hAnsi="Tahoma" w:cs="Arial"/>
          <w:b/>
          <w:noProof/>
          <w:sz w:val="20"/>
          <w:szCs w:val="20"/>
        </w:rPr>
        <w:t>modyfikowany z</w:t>
      </w:r>
      <w:r w:rsidRPr="00BE69D5">
        <w:rPr>
          <w:rFonts w:ascii="Tahoma" w:hAnsi="Tahoma" w:cs="Arial"/>
          <w:b/>
          <w:noProof/>
          <w:sz w:val="20"/>
          <w:szCs w:val="20"/>
        </w:rPr>
        <w:t xml:space="preserve">ałącznik nr </w:t>
      </w:r>
      <w:r w:rsidR="00F07D62" w:rsidRPr="00BE69D5">
        <w:rPr>
          <w:rFonts w:ascii="Tahoma" w:hAnsi="Tahoma" w:cs="Arial"/>
          <w:b/>
          <w:noProof/>
          <w:sz w:val="20"/>
          <w:szCs w:val="20"/>
        </w:rPr>
        <w:t>2 do SIWZ</w:t>
      </w:r>
    </w:p>
    <w:p w14:paraId="42173246" w14:textId="77777777" w:rsidR="009B6E56" w:rsidRPr="00A425C7" w:rsidRDefault="009B6E56" w:rsidP="009B6E56">
      <w:pPr>
        <w:rPr>
          <w:rFonts w:ascii="Tahoma" w:hAnsi="Tahoma" w:cs="Arial"/>
          <w:noProof/>
          <w:color w:val="FF0000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25A40FF9" w:rsidR="009B6E56" w:rsidRPr="005B4A3E" w:rsidRDefault="00F07D62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4</w:t>
      </w:r>
    </w:p>
    <w:p w14:paraId="5BB95B54" w14:textId="22058133" w:rsidR="00691AEC" w:rsidRPr="005B4A3E" w:rsidRDefault="00A425C7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Ssak </w:t>
      </w:r>
      <w:r w:rsidR="00F07D62">
        <w:rPr>
          <w:rFonts w:ascii="Tahoma" w:hAnsi="Tahoma" w:cs="Tahoma"/>
          <w:b/>
          <w:noProof/>
          <w:sz w:val="20"/>
          <w:szCs w:val="20"/>
        </w:rPr>
        <w:t xml:space="preserve">elektryczny </w:t>
      </w:r>
      <w:r>
        <w:rPr>
          <w:rFonts w:ascii="Tahoma" w:hAnsi="Tahoma" w:cs="Tahoma"/>
          <w:b/>
          <w:noProof/>
          <w:sz w:val="20"/>
          <w:szCs w:val="20"/>
        </w:rPr>
        <w:t>– 1 sztuka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425C7">
        <w:trPr>
          <w:trHeight w:val="1560"/>
          <w:tblHeader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81AE7A3" w14:textId="0ABF0622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Ssak fabrycznie nowy, rok produkcji 2020</w:t>
            </w:r>
          </w:p>
        </w:tc>
        <w:tc>
          <w:tcPr>
            <w:tcW w:w="1420" w:type="dxa"/>
          </w:tcPr>
          <w:p w14:paraId="6B353593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A425C7" w:rsidRPr="005B4A3E" w14:paraId="0B718D84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61685427" w14:textId="77777777" w:rsidR="00A425C7" w:rsidRPr="005B4A3E" w:rsidRDefault="00A425C7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713D59" w14:textId="2E6DE58F" w:rsidR="00A425C7" w:rsidRPr="00A425C7" w:rsidRDefault="00F07989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Podciśnienie: -80 kPa</w:t>
            </w:r>
            <w:r w:rsidR="00BE69D5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="0015699C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dopuszcza się max podciśnienie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 xml:space="preserve"> -90 kPa</w:t>
            </w:r>
          </w:p>
        </w:tc>
        <w:tc>
          <w:tcPr>
            <w:tcW w:w="1420" w:type="dxa"/>
          </w:tcPr>
          <w:p w14:paraId="654B6FB9" w14:textId="57631F3C" w:rsidR="00A425C7" w:rsidRPr="00F61106" w:rsidRDefault="00F07989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09F7BB" w14:textId="77777777" w:rsidR="00A425C7" w:rsidRPr="005B4A3E" w:rsidRDefault="00A425C7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8D245B" w:rsidRPr="005B4A3E" w14:paraId="6F19EC96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C76A23B" w14:textId="162D2FDA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rzepływ: 40 l/min</w:t>
            </w:r>
            <w:r w:rsidR="00BE69D5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dopuszcza się wydajność 30 l/min</w:t>
            </w:r>
          </w:p>
        </w:tc>
        <w:tc>
          <w:tcPr>
            <w:tcW w:w="1420" w:type="dxa"/>
          </w:tcPr>
          <w:p w14:paraId="7E3A96A9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A33A513" w14:textId="490C74E4" w:rsidR="008D245B" w:rsidRPr="00A425C7" w:rsidRDefault="00A425C7" w:rsidP="0015699C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Waga max 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9,3 kg</w:t>
            </w:r>
          </w:p>
        </w:tc>
        <w:tc>
          <w:tcPr>
            <w:tcW w:w="1420" w:type="dxa"/>
          </w:tcPr>
          <w:p w14:paraId="1A509D13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23C980D" w14:textId="2373A6B6" w:rsidR="008D245B" w:rsidRPr="00A425C7" w:rsidRDefault="00A425C7" w:rsidP="00BE69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ymiary: 35xh21x18cm (+/- 2 cm)</w:t>
            </w:r>
            <w:r w:rsidR="00BE69D5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dopuszcza się  wymia</w:t>
            </w:r>
            <w:r w:rsid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ry 21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x30</w:t>
            </w:r>
            <w:r w:rsid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,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5x37</w:t>
            </w:r>
            <w:r w:rsid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,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 xml:space="preserve">5 </w:t>
            </w:r>
            <w:r w:rsid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c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m</w:t>
            </w:r>
          </w:p>
        </w:tc>
        <w:tc>
          <w:tcPr>
            <w:tcW w:w="1420" w:type="dxa"/>
          </w:tcPr>
          <w:p w14:paraId="19A21FD7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228BB6A" w14:textId="7671BD43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Cykl pracy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:</w:t>
            </w: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ciągła</w:t>
            </w:r>
          </w:p>
        </w:tc>
        <w:tc>
          <w:tcPr>
            <w:tcW w:w="1420" w:type="dxa"/>
          </w:tcPr>
          <w:p w14:paraId="3FAA95D8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A425C7">
        <w:trPr>
          <w:trHeight w:val="94"/>
          <w:jc w:val="center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6E98E75" w14:textId="7DED35C7" w:rsidR="008D245B" w:rsidRPr="00A425C7" w:rsidRDefault="00A425C7" w:rsidP="0015699C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oziom hałasu max. 60,5 dBA (+/- 1dBA)</w:t>
            </w:r>
            <w:r w:rsidR="00BE69D5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="00BE69D5"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dopuszcza się  poziom hałasu 37 dB</w:t>
            </w:r>
            <w:bookmarkStart w:id="0" w:name="_GoBack"/>
            <w:bookmarkEnd w:id="0"/>
          </w:p>
        </w:tc>
        <w:tc>
          <w:tcPr>
            <w:tcW w:w="1420" w:type="dxa"/>
          </w:tcPr>
          <w:p w14:paraId="090AF041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7599AB1" w14:textId="360C9A09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M</w:t>
            </w:r>
            <w:r w:rsidR="00F474B0"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ożliwo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ść zastosowania wózka z kółkami</w:t>
            </w:r>
          </w:p>
        </w:tc>
        <w:tc>
          <w:tcPr>
            <w:tcW w:w="1420" w:type="dxa"/>
          </w:tcPr>
          <w:p w14:paraId="63904494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2B0D1DC" w14:textId="77777777" w:rsidR="008D245B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 zestawie - butla z poliwęglanu 1l z</w:t>
            </w:r>
            <w:r w:rsidR="00F474B0"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zaworem zabezp</w:t>
            </w: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ieczającym przed przepełnieniem (1sztuka), dreny silikonowe, filtr bakteryjny, łącznik drenów.</w:t>
            </w:r>
          </w:p>
          <w:p w14:paraId="394E46E5" w14:textId="1035032A" w:rsidR="00BE69D5" w:rsidRPr="00BE69D5" w:rsidRDefault="00BE69D5" w:rsidP="00A425C7">
            <w:pPr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</w:pPr>
            <w:r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Zamawiajacy dopuszcza w zestawie pojemnik z poliwęglanu 1,5 L przeznaczony na wkłady jednorazowe tej samej pojemności, zawierające filtry antybakte</w:t>
            </w:r>
            <w:r w:rsidR="0015699C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r</w:t>
            </w:r>
            <w:r w:rsidRPr="00BE69D5">
              <w:rPr>
                <w:rFonts w:ascii="Tahoma" w:hAnsi="Tahoma" w:cs="Arial"/>
                <w:b/>
                <w:noProof/>
                <w:sz w:val="20"/>
                <w:szCs w:val="20"/>
                <w:lang w:val="pl-PL"/>
              </w:rPr>
              <w:t>yjne hydrofobowe zabezpieczające przed przelaniem, partia wkładów dostarczona wraz ze ssakiem. Zbiornik zabezpieczający przed przelaniem ssaka montowany na główce ssaka. Manomentr na pulpice ze skala w kPa i mmHg oraz bardzo precyzyjny membranowy regulator podciśnienia.  Ssak przystosowany do pracy ciągłej 24h/dobę.</w:t>
            </w:r>
          </w:p>
        </w:tc>
        <w:tc>
          <w:tcPr>
            <w:tcW w:w="1420" w:type="dxa"/>
          </w:tcPr>
          <w:p w14:paraId="0B027EBC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00F65C4" w14:textId="273C30B3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R</w:t>
            </w:r>
            <w:r w:rsidR="00F474B0"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egulator </w:t>
            </w: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podciśnienia w postaci pokrętła </w:t>
            </w:r>
          </w:p>
        </w:tc>
        <w:tc>
          <w:tcPr>
            <w:tcW w:w="1420" w:type="dxa"/>
          </w:tcPr>
          <w:p w14:paraId="39BFBF8F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A425C7">
        <w:trPr>
          <w:trHeight w:val="220"/>
          <w:jc w:val="center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7E6651C" w14:textId="00AC8411" w:rsidR="008D245B" w:rsidRPr="00A425C7" w:rsidRDefault="00A425C7" w:rsidP="00A425C7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425C7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Wypo</w:t>
            </w:r>
            <w:r w:rsidR="00F07989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sażony we wskaźnik podciśnienia</w:t>
            </w:r>
          </w:p>
        </w:tc>
        <w:tc>
          <w:tcPr>
            <w:tcW w:w="1420" w:type="dxa"/>
          </w:tcPr>
          <w:p w14:paraId="6CC1BCA2" w14:textId="77777777" w:rsidR="008D245B" w:rsidRPr="005B4A3E" w:rsidRDefault="008D245B" w:rsidP="00A425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lastRenderedPageBreak/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0500D3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</w:t>
      </w:r>
      <w:r w:rsidR="004771B1">
        <w:rPr>
          <w:rFonts w:ascii="Tahoma" w:hAnsi="Tahoma" w:cs="Arial"/>
          <w:noProof/>
          <w:spacing w:val="-4"/>
          <w:sz w:val="20"/>
          <w:szCs w:val="20"/>
        </w:rPr>
        <w:t xml:space="preserve">apewniamy w swoim zakresie 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 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FE"/>
    <w:rsid w:val="00031694"/>
    <w:rsid w:val="00092ED2"/>
    <w:rsid w:val="000C5792"/>
    <w:rsid w:val="00141FD2"/>
    <w:rsid w:val="00142E45"/>
    <w:rsid w:val="0015699C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42E3B"/>
    <w:rsid w:val="00463A3D"/>
    <w:rsid w:val="004771B1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425C7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BE69D5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E2D0E"/>
    <w:rsid w:val="00F07989"/>
    <w:rsid w:val="00F07D62"/>
    <w:rsid w:val="00F25232"/>
    <w:rsid w:val="00F474B0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F40C-3B33-4A84-869E-A500248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Magdalena Kołdon</cp:lastModifiedBy>
  <cp:revision>3</cp:revision>
  <cp:lastPrinted>2020-06-18T10:37:00Z</cp:lastPrinted>
  <dcterms:created xsi:type="dcterms:W3CDTF">2020-11-12T09:37:00Z</dcterms:created>
  <dcterms:modified xsi:type="dcterms:W3CDTF">2020-11-12T11:01:00Z</dcterms:modified>
</cp:coreProperties>
</file>