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pl-PL"/>
        </w:rPr>
        <w:t>Usługa powinna spełniać następujące wymagania:</w:t>
        <w:br/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Sieć bezprzewodowa WiFI powinna umożliwiać udostępnienie posiadanego przez Zamawiającego internetu pacjentom na oddziale Nefrologii, Okulistyki, Alergologii, Pediatrii;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Sieć ma zapewnić transmisję danych na poziomie min. 1 Gb/s w każdym miejscu oddziału;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Sieć powinna składać się z pośredniej szafy dystrybucyjnej (PSD) zainstalowanej na każdym oddziale będącym w opracowaniu zadania tj. na oddziale Nefrologii, Okulistyki, Alergologii, Pediatrii;</w:t>
      </w:r>
    </w:p>
    <w:p>
      <w:pPr>
        <w:pStyle w:val="ListParagraph"/>
        <w:numPr>
          <w:ilvl w:val="0"/>
          <w:numId w:val="1"/>
        </w:numPr>
        <w:spacing w:lineRule="auto" w:line="36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Wszystkie zaproponowane urządzenia sieciowe (typu Access Point) powinny być podłączone z PSD oraz zasilone elektrycznie.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Szafa PSD powinna zostać zasilona siecią LAN:</w:t>
      </w:r>
    </w:p>
    <w:p>
      <w:pPr>
        <w:pStyle w:val="ListParagraph"/>
        <w:widowControl w:val="false"/>
        <w:numPr>
          <w:ilvl w:val="1"/>
          <w:numId w:val="1"/>
        </w:numPr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oddziale Nefrologii ( z pomieszczenia piwnicy piętro -1 budynku B2 )</w:t>
      </w:r>
    </w:p>
    <w:p>
      <w:pPr>
        <w:pStyle w:val="ListParagraph"/>
        <w:widowControl w:val="false"/>
        <w:numPr>
          <w:ilvl w:val="1"/>
          <w:numId w:val="1"/>
        </w:numPr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oddziale Okulistyki ( z szafy dystrybucyjnej budynek B1 piętro 1 )</w:t>
      </w:r>
    </w:p>
    <w:p>
      <w:pPr>
        <w:pStyle w:val="ListParagraph"/>
        <w:widowControl w:val="false"/>
        <w:numPr>
          <w:ilvl w:val="1"/>
          <w:numId w:val="1"/>
        </w:numPr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oddziale Alergologii (  z szafy dystrybucyjnej budynek B1 piętro 1 )</w:t>
      </w:r>
    </w:p>
    <w:p>
      <w:pPr>
        <w:pStyle w:val="ListParagraph"/>
        <w:widowControl w:val="false"/>
        <w:numPr>
          <w:ilvl w:val="1"/>
          <w:numId w:val="1"/>
        </w:numPr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oddziale Pediatrii ( Budynek B1 1 piętro - oddział Laryngologii )</w:t>
      </w:r>
    </w:p>
    <w:p>
      <w:pPr>
        <w:pStyle w:val="ListParagraph"/>
        <w:widowControl w:val="false"/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(W celu sprawdzenia odległości i miejsca instalacji PSD zalecamy wizję lokalna w miejscu wykonania prac).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Dokładna lokalizacja oraz ilość urządzeń powinna zostać ujęta na podstawie symulacji propagacji sieci wykonanej przez wykonawcę;</w:t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360" w:before="0" w:after="0"/>
        <w:contextualSpacing w:val="false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Jeżeli do pracy urządzeń niezbędne jest zasilanie elektrycznie, Wykonawca wykona wymaganą siec eklektyczną we własnym zakresie (wykonanie nowej sieci elektrycznej wymaga przedstawienie protokołu z badania dla nowej sieci elektrycznej zgodnego z obowiązującymi przepisami). 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Sieć musi być odseparowana fizycznie od szpitalnej sieci LAN;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rPr>
          <w:rFonts w:eastAsia="Calibri" w:eastAsiaTheme="minorHAnsi"/>
          <w:lang w:eastAsia="en-US"/>
        </w:rPr>
      </w:pPr>
      <w:r>
        <w:rPr/>
        <w:t>Wykonawca zobowiązany jest do przeniesienia konfiguracji między obecnym oprogramowaniem Unifi Controler a urządzeniem aktywnym wskazanym w wymaganiach poniżej.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rPr>
          <w:rFonts w:eastAsia="Calibri" w:eastAsiaTheme="minorHAnsi"/>
          <w:lang w:eastAsia="en-US"/>
        </w:rPr>
      </w:pPr>
      <w:r>
        <w:rPr/>
        <w:t xml:space="preserve">Wykonawca przeprowadzi pełny montaż i konfigurację dostarczonego sprzętu w celu umożliwienia usługi dostępu do sieci WiFi dla pacjenta. 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>Miejsca lokalizacji nadajników typu Access Point nie mogą być dostępne dla pacjentów;</w:t>
      </w:r>
    </w:p>
    <w:p>
      <w:pPr>
        <w:pStyle w:val="NormalWeb"/>
        <w:shd w:val="clear" w:color="auto" w:fill="FFFFFF"/>
        <w:spacing w:beforeAutospacing="0" w:before="0" w:afterAutospacing="0" w:after="200"/>
        <w:ind w:left="720" w:hanging="0"/>
        <w:rPr>
          <w:color w:val="00000A"/>
        </w:rPr>
      </w:pPr>
      <w:r>
        <w:rPr>
          <w:color w:val="00000A"/>
        </w:rPr>
      </w:r>
    </w:p>
    <w:p>
      <w:pPr>
        <w:pStyle w:val="NormalWeb"/>
        <w:shd w:val="clear" w:color="auto" w:fill="FFFFFF"/>
        <w:spacing w:beforeAutospacing="0" w:before="0" w:afterAutospacing="0" w:after="200"/>
        <w:rPr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>Wymagane urządzenia aktywne:</w:t>
      </w:r>
    </w:p>
    <w:p>
      <w:pPr>
        <w:pStyle w:val="NormalWeb"/>
        <w:shd w:val="clear" w:color="auto" w:fill="FFFFFF"/>
        <w:spacing w:beforeAutospacing="0" w:before="0" w:afterAutospacing="0" w:after="200"/>
        <w:rPr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708" w:hanging="0"/>
        <w:rPr>
          <w:color w:val="00000A"/>
          <w:lang w:val="en-GB"/>
        </w:rPr>
      </w:pPr>
      <w:r>
        <w:rPr>
          <w:b/>
          <w:bCs/>
          <w:color w:val="00000A"/>
          <w:lang w:val="en-GB"/>
        </w:rPr>
        <w:t>Kontroler</w:t>
      </w:r>
      <w:r>
        <w:rPr>
          <w:color w:val="00000A"/>
          <w:lang w:val="en-GB"/>
        </w:rPr>
        <w:t>: Unifi Cloud Key Plus (Model: UCK-G2-PLUS)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708" w:hanging="0"/>
        <w:rPr>
          <w:b/>
          <w:bCs/>
          <w:color w:val="00000A"/>
          <w:lang w:val="en-GB"/>
        </w:rPr>
      </w:pPr>
      <w:r>
        <w:rPr>
          <w:b/>
          <w:bCs/>
          <w:color w:val="00000A"/>
          <w:lang w:val="en-GB"/>
        </w:rPr>
        <w:t xml:space="preserve">Switch (minimalne </w:t>
      </w:r>
      <w:r>
        <w:rPr>
          <w:b/>
          <w:bCs/>
          <w:color w:val="00000A"/>
          <w:lang w:val="pl-PL" w:eastAsia="pl-PL"/>
        </w:rPr>
        <w:t>wymagania</w:t>
      </w:r>
      <w:r>
        <w:rPr>
          <w:b/>
          <w:bCs/>
          <w:color w:val="00000A"/>
          <w:lang w:val="en-GB"/>
        </w:rPr>
        <w:t>):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ind w:left="2142" w:hanging="360"/>
        <w:rPr>
          <w:color w:val="00000A"/>
          <w:lang w:val="en-GB"/>
        </w:rPr>
      </w:pPr>
      <w:r>
        <w:rPr>
          <w:color w:val="00000A"/>
          <w:lang w:val="en-GB"/>
        </w:rPr>
        <w:t>Typ przełącznika: Zarządzalny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ind w:left="2142" w:hanging="360"/>
        <w:rPr>
          <w:color w:val="00000A"/>
          <w:lang w:val="en-GB"/>
        </w:rPr>
      </w:pPr>
      <w:r>
        <w:rPr>
          <w:color w:val="00000A"/>
          <w:lang w:val="en-GB"/>
        </w:rPr>
        <w:t>Przełącznik wielowarstwowy: L2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ind w:left="2142" w:hanging="360"/>
        <w:rPr>
          <w:color w:val="00000A"/>
        </w:rPr>
      </w:pPr>
      <w:r>
        <w:rPr>
          <w:color w:val="00000A"/>
        </w:rPr>
        <w:t>Obsługa jakości serwisu (QoS): Tak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ind w:left="2142" w:hanging="360"/>
        <w:rPr>
          <w:color w:val="00000A"/>
        </w:rPr>
      </w:pPr>
      <w:r>
        <w:rPr>
          <w:color w:val="00000A"/>
        </w:rPr>
        <w:t>Obsługa PoE: Tak</w:t>
      </w:r>
    </w:p>
    <w:p>
      <w:pPr>
        <w:pStyle w:val="NormalWeb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ind w:left="2142" w:hanging="360"/>
        <w:rPr>
          <w:color w:val="00000A"/>
        </w:rPr>
      </w:pPr>
      <w:r>
        <w:rPr>
          <w:color w:val="00000A"/>
        </w:rPr>
        <w:t>Przepustowość: 10 Gbps</w:t>
      </w:r>
    </w:p>
    <w:p>
      <w:pPr>
        <w:pStyle w:val="Productproperty-item"/>
        <w:numPr>
          <w:ilvl w:val="0"/>
          <w:numId w:val="3"/>
        </w:numPr>
        <w:shd w:val="clear" w:color="auto" w:fill="FFFFFF"/>
        <w:spacing w:lineRule="auto" w:line="360" w:beforeAutospacing="0" w:before="0" w:afterAutospacing="0" w:after="0"/>
        <w:ind w:left="2142" w:hanging="360"/>
        <w:rPr>
          <w:color w:val="282828"/>
        </w:rPr>
      </w:pPr>
      <w:r>
        <w:rPr>
          <w:rStyle w:val="Productproperty-title"/>
          <w:color w:val="282828"/>
        </w:rPr>
        <w:t>Montaż RACK:</w:t>
      </w:r>
      <w:r>
        <w:rPr>
          <w:color w:val="282828"/>
        </w:rPr>
        <w:t> </w:t>
      </w:r>
      <w:r>
        <w:rPr>
          <w:rStyle w:val="Productproperty-des"/>
          <w:color w:val="282828"/>
        </w:rPr>
        <w:t>Tak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708" w:hanging="0"/>
        <w:rPr>
          <w:color w:val="00000A"/>
          <w:lang w:val="en-GB"/>
        </w:rPr>
      </w:pPr>
      <w:r>
        <w:rPr>
          <w:b/>
          <w:bCs/>
          <w:color w:val="00000A"/>
          <w:lang w:val="en-GB"/>
        </w:rPr>
        <w:t>Access point</w:t>
      </w:r>
      <w:r>
        <w:rPr>
          <w:color w:val="00000A"/>
          <w:lang w:val="en-GB"/>
        </w:rPr>
        <w:t>:  Ubiquiti Networks UAP-AC-LR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360" w:hanging="0"/>
        <w:rPr>
          <w:color w:val="00000A"/>
          <w:lang w:val="en-GB"/>
        </w:rPr>
      </w:pPr>
      <w:r>
        <w:rPr>
          <w:color w:val="00000A"/>
          <w:lang w:val="en-GB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b/>
          <w:bCs/>
          <w:color w:val="00000A"/>
          <w:u w:val="single"/>
        </w:rPr>
      </w:pPr>
      <w:r>
        <w:rPr>
          <w:b/>
          <w:bCs/>
          <w:color w:val="00000A"/>
          <w:u w:val="single"/>
        </w:rPr>
        <w:t>Wymagania gwarancyjne: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rPr>
          <w:color w:val="00000A"/>
        </w:rPr>
      </w:pPr>
      <w:r>
        <w:rPr>
          <w:color w:val="00000A"/>
        </w:rPr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Autospacing="0" w:before="0" w:afterAutospacing="0" w:after="0"/>
        <w:rPr>
          <w:b/>
          <w:bCs/>
          <w:color w:val="00000A"/>
        </w:rPr>
      </w:pPr>
      <w:r>
        <w:rPr>
          <w:rFonts w:cs="Arial" w:ascii="Arial" w:hAnsi="Arial"/>
          <w:color w:val="00000A"/>
        </w:rPr>
        <w:t>Wymagana gwarancja ma być bezpłatną usługą serwisową oferowaną Zamawiającemu przez okres 36 miesięcy.</w:t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uto" w:line="360" w:beforeAutospacing="0" w:before="0" w:afterAutospacing="0" w:after="0"/>
        <w:rPr>
          <w:b/>
          <w:bCs/>
          <w:color w:val="00000A"/>
        </w:rPr>
      </w:pPr>
      <w:r>
        <w:rPr>
          <w:rFonts w:cs="Arial" w:ascii="Arial" w:hAnsi="Arial"/>
          <w:color w:val="00000A"/>
        </w:rPr>
        <w:t>Gwarancja obejmować ma swoim zakresem wykonaną instalację oraz użyte materiały (okablowanie, punkty dostępu, przełączniki sieciowe, kontroler).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ind w:left="360" w:hanging="0"/>
        <w:rPr>
          <w:color w:val="00000A"/>
        </w:rPr>
      </w:pPr>
      <w:r>
        <w:rPr>
          <w:rFonts w:eastAsia="Times New Roman" w:cs="Calibri Light" w:cstheme="majorHAnsi" w:ascii="Calibri Light" w:hAnsi="Calibri Light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rPr>
          <w:rFonts w:ascii="Calibri Light" w:hAnsi="Calibri Light" w:eastAsia="Times New Roman" w:cs="Calibri Light" w:asciiTheme="majorHAnsi" w:cstheme="majorHAnsi" w:hAnsiTheme="majorHAnsi"/>
          <w:sz w:val="24"/>
          <w:szCs w:val="24"/>
          <w:lang w:eastAsia="pl-PL"/>
        </w:rPr>
      </w:pPr>
      <w:r>
        <w:rPr>
          <w:rFonts w:eastAsia="Times New Roman" w:cs="Calibri Light" w:cstheme="majorHAnsi" w:ascii="Calibri Light" w:hAnsi="Calibri Light"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Calibri Light" w:hAnsi="Calibri Light" w:eastAsia="Times New Roman" w:cs="Calibri Light" w:asciiTheme="majorHAnsi" w:cstheme="majorHAnsi" w:hAnsiTheme="majorHAnsi"/>
          <w:sz w:val="24"/>
          <w:szCs w:val="24"/>
          <w:lang w:eastAsia="pl-PL"/>
        </w:rPr>
      </w:pPr>
      <w:r>
        <w:rPr>
          <w:rFonts w:eastAsia="Times New Roman" w:cs="Calibri Light" w:cstheme="majorHAnsi" w:ascii="Calibri Light" w:hAnsi="Calibri Light"/>
          <w:b/>
          <w:sz w:val="24"/>
          <w:szCs w:val="24"/>
          <w:lang w:eastAsia="pl-PL"/>
        </w:rPr>
      </w:r>
    </w:p>
    <w:p>
      <w:pPr>
        <w:pStyle w:val="Normal"/>
        <w:spacing w:lineRule="auto" w:line="360" w:before="0" w:after="0"/>
        <w:contextualSpacing/>
        <w:jc w:val="right"/>
        <w:rPr>
          <w:rFonts w:ascii="Calibri Light" w:hAnsi="Calibri Light" w:eastAsia="Times New Roman" w:cs="Calibri Light" w:asciiTheme="majorHAnsi" w:cstheme="majorHAnsi" w:hAnsiTheme="majorHAnsi"/>
          <w:b/>
          <w:sz w:val="24"/>
          <w:szCs w:val="24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sz w:val="24"/>
          <w:szCs w:val="24"/>
          <w:lang w:eastAsia="pl-PL"/>
        </w:rPr>
        <w:t>……………………………………………………………………</w:t>
      </w:r>
      <w:r>
        <w:rPr>
          <w:rFonts w:eastAsia="Times New Roman" w:cs="Calibri Light" w:ascii="Calibri Light" w:hAnsi="Calibri Light" w:asciiTheme="majorHAnsi" w:cstheme="majorHAnsi" w:hAnsiTheme="majorHAnsi"/>
          <w:b/>
          <w:sz w:val="24"/>
          <w:szCs w:val="24"/>
          <w:lang w:eastAsia="pl-PL"/>
        </w:rPr>
        <w:t>..</w:t>
      </w:r>
    </w:p>
    <w:p>
      <w:pPr>
        <w:pStyle w:val="Normal"/>
        <w:spacing w:lineRule="auto" w:line="360" w:before="0" w:after="0"/>
        <w:contextualSpacing/>
        <w:jc w:val="right"/>
        <w:rPr>
          <w:rFonts w:ascii="Calibri Light" w:hAnsi="Calibri Light" w:eastAsia="Times New Roman" w:cs="Calibri Light" w:asciiTheme="majorHAnsi" w:cstheme="majorHAnsi" w:hAnsiTheme="majorHAnsi"/>
          <w:b/>
          <w:sz w:val="24"/>
          <w:szCs w:val="24"/>
          <w:lang w:eastAsia="pl-PL"/>
        </w:rPr>
      </w:pPr>
      <w:r>
        <w:rPr>
          <w:rFonts w:eastAsia="Times New Roman" w:cs="Calibri Light" w:ascii="Calibri Light" w:hAnsi="Calibri Light" w:asciiTheme="majorHAnsi" w:cstheme="majorHAnsi" w:hAnsiTheme="majorHAnsi"/>
          <w:b/>
          <w:sz w:val="24"/>
          <w:szCs w:val="24"/>
          <w:lang w:eastAsia="pl-PL"/>
        </w:rPr>
        <w:t>Podpis osoby upoważnionej przez Wykonawcę</w:t>
      </w:r>
    </w:p>
    <w:p>
      <w:pPr>
        <w:pStyle w:val="Normal"/>
        <w:spacing w:lineRule="auto" w:line="360" w:before="0" w:after="0"/>
        <w:rPr>
          <w:rFonts w:ascii="Calibri Light" w:hAnsi="Calibri Light" w:cs="Calibri Light" w:asciiTheme="majorHAnsi" w:cstheme="majorHAnsi" w:hAnsiTheme="majorHAnsi"/>
          <w:color w:val="FF0000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jc w:val="right"/>
      <w:rPr>
        <w:rFonts w:ascii="Calibri" w:hAnsi="Calibri" w:cs="Calibri" w:asciiTheme="minorHAnsi" w:cstheme="minorHAnsi" w:hAnsiTheme="minorHAnsi"/>
        <w:b/>
        <w:sz w:val="22"/>
        <w:szCs w:val="22"/>
        <w:lang w:val="de-DE"/>
      </w:rPr>
    </w:pPr>
    <w:r>
      <w:rPr>
        <w:rFonts w:cs="Calibri" w:cstheme="minorHAnsi" w:ascii="Calibri" w:hAnsi="Calibri"/>
        <w:b/>
        <w:sz w:val="22"/>
        <w:szCs w:val="22"/>
        <w:lang w:val="de-DE"/>
      </w:rPr>
    </w:r>
  </w:p>
  <w:p>
    <w:pPr>
      <w:pStyle w:val="Tretekstu"/>
      <w:jc w:val="right"/>
      <w:rPr>
        <w:rFonts w:ascii="Calibri" w:hAnsi="Calibri" w:cs="Calibri" w:asciiTheme="minorHAnsi" w:cstheme="minorHAnsi" w:hAnsiTheme="minorHAnsi"/>
        <w:b/>
        <w:sz w:val="22"/>
        <w:szCs w:val="22"/>
      </w:rPr>
    </w:pPr>
    <w:r>
      <w:rPr>
        <w:rFonts w:cs="Calibri" w:ascii="Calibri" w:hAnsi="Calibri" w:asciiTheme="minorHAnsi" w:cstheme="minorHAnsi" w:hAnsiTheme="minorHAnsi"/>
        <w:b/>
        <w:sz w:val="22"/>
        <w:szCs w:val="22"/>
      </w:rPr>
      <w:t xml:space="preserve">Załącznik nr 2 </w:t>
    </w:r>
  </w:p>
  <w:p>
    <w:pPr>
      <w:pStyle w:val="Tretekstu"/>
      <w:jc w:val="right"/>
      <w:rPr>
        <w:rFonts w:ascii="Calibri" w:hAnsi="Calibri" w:cs="Calibri" w:asciiTheme="minorHAnsi" w:cstheme="minorHAnsi" w:hAnsiTheme="minorHAnsi"/>
        <w:b/>
        <w:sz w:val="22"/>
        <w:szCs w:val="22"/>
      </w:rPr>
    </w:pPr>
    <w:r>
      <w:rPr>
        <w:rFonts w:cs="Calibri" w:cstheme="minorHAnsi" w:ascii="Calibri" w:hAnsi="Calibri"/>
        <w:b/>
        <w:sz w:val="22"/>
        <w:szCs w:val="22"/>
      </w:rPr>
    </w:r>
  </w:p>
  <w:p>
    <w:pPr>
      <w:pStyle w:val="Tretekstu"/>
      <w:jc w:val="center"/>
      <w:rPr>
        <w:rFonts w:ascii="Calibri" w:hAnsi="Calibri" w:cs="Calibri" w:asciiTheme="minorHAnsi" w:cstheme="minorHAnsi" w:hAnsiTheme="minorHAnsi"/>
        <w:b/>
        <w:szCs w:val="22"/>
      </w:rPr>
    </w:pPr>
    <w:r>
      <w:rPr>
        <w:rFonts w:cs="Calibri" w:ascii="Calibri" w:hAnsi="Calibri" w:asciiTheme="minorHAnsi" w:cstheme="minorHAnsi" w:hAnsiTheme="minorHAnsi"/>
        <w:b/>
        <w:szCs w:val="22"/>
      </w:rPr>
      <w:t>OPIS PRZEDMIOTU ZAMÓWIENIA</w:t>
    </w:r>
  </w:p>
  <w:p>
    <w:pPr>
      <w:pStyle w:val="Normal"/>
      <w:spacing w:lineRule="auto" w:line="264"/>
      <w:rPr>
        <w:i/>
        <w:i/>
        <w:color w:val="AEAAAA" w:themeColor="background2" w:themeShade="bf"/>
        <w:sz w:val="18"/>
        <w:szCs w:val="18"/>
      </w:rPr>
    </w:pPr>
    <w:r>
      <mc:AlternateContent>
        <mc:Choice Requires="wps">
          <w:drawing>
            <wp:anchor behindDoc="1" distT="0" distB="26670" distL="0" distR="26670" simplePos="0" locked="0" layoutInCell="0" allowOverlap="1" relativeHeight="3" wp14:anchorId="6056BE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275195" cy="10250170"/>
              <wp:effectExtent l="8890" t="8255" r="7620" b="8255"/>
              <wp:wrapNone/>
              <wp:docPr id="1" name="Prostokąt 2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75240" cy="102502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e7e6e6">
                            <a:lumMod val="50000"/>
                          </a:srgb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Prostokąt 222" path="m0,0l-2147483645,0l-2147483645,-2147483646l0,-2147483646xe" stroked="t" o:allowincell="f" style="position:absolute;margin-left:11.2pt;margin-top:17.4pt;width:572.8pt;height:807.05pt;mso-wrap-style:none;v-text-anchor:middle;mso-position-horizontal:center;mso-position-horizontal-relative:page;mso-position-vertical:center;mso-position-vertical-relative:page" wp14:anchorId="6056BECC">
              <v:fill o:detectmouseclick="t" on="false"/>
              <v:stroke color="#767171" weight="15840" joinstyle="miter" endcap="flat"/>
              <w10:wrap type="none"/>
            </v:rect>
          </w:pict>
        </mc:Fallback>
      </mc:AlternateContent>
    </w:r>
    <w:sdt>
      <w:sdtPr>
        <w:placeholder>
          <w:docPart w:val="A3D546D923B947CEAD3388340E630E6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alias w:val="Tytuł"/>
        <w:id w:val="15524250"/>
        <w:text/>
      </w:sdtPr>
      <w:sdtContent>
        <w:r>
          <w:rPr>
            <w:rFonts w:cs="Times New Roman" w:ascii="Times New Roman" w:hAnsi="Times New Roman"/>
            <w:b/>
            <w:bCs/>
            <w:color w:val="AEAAAA" w:themeColor="background2" w:themeShade="bf"/>
            <w:sz w:val="18"/>
            <w:szCs w:val="18"/>
          </w:rPr>
        </w:r>
        <w:r>
          <w:rPr>
            <w:rFonts w:cs="Times New Roman" w:ascii="Times New Roman" w:hAnsi="Times New Roman"/>
            <w:b/>
            <w:bCs/>
            <w:color w:val="AEAAAA" w:themeColor="background2" w:themeShade="bf"/>
            <w:sz w:val="18"/>
            <w:szCs w:val="18"/>
          </w:rPr>
          <w:t>„</w:t>
        </w:r>
        <w:r>
          <w:rPr>
            <w:rFonts w:cs="Times New Roman" w:ascii="Times New Roman" w:hAnsi="Times New Roman"/>
            <w:b/>
            <w:bCs/>
            <w:color w:val="AEAAAA" w:themeColor="background2" w:themeShade="bf"/>
            <w:sz w:val="18"/>
            <w:szCs w:val="18"/>
          </w:rPr>
          <w:t>Wykonanie sieci bezprzewodowej z przeznaczaniem na dostęp do Internetu dla pacjentów oddziałów szpitalnych przy ul. Truchana 7”.</w:t>
        </w:r>
      </w:sdtContent>
    </w:sdt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4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074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ea6005"/>
    <w:rPr>
      <w:color w:val="0563C1" w:themeColor="hyperlink"/>
      <w:u w:val="single"/>
    </w:rPr>
  </w:style>
  <w:style w:type="character" w:styleId="TekstpodstawowyZnak" w:customStyle="1">
    <w:name w:val="Tekst podstawowy Znak"/>
    <w:basedOn w:val="DefaultParagraphFont"/>
    <w:uiPriority w:val="99"/>
    <w:semiHidden/>
    <w:qFormat/>
    <w:rsid w:val="00604959"/>
    <w:rPr/>
  </w:style>
  <w:style w:type="character" w:styleId="TekstpodstawowyZnak1" w:customStyle="1">
    <w:name w:val="Tekst podstawowy Znak1"/>
    <w:qFormat/>
    <w:locked/>
    <w:rsid w:val="00604959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d21010"/>
    <w:rPr/>
  </w:style>
  <w:style w:type="character" w:styleId="StopkaZnak" w:customStyle="1">
    <w:name w:val="Stopka Znak"/>
    <w:basedOn w:val="DefaultParagraphFont"/>
    <w:uiPriority w:val="99"/>
    <w:qFormat/>
    <w:rsid w:val="00d21010"/>
    <w:rPr/>
  </w:style>
  <w:style w:type="character" w:styleId="TekstpodstawowywcityZnak" w:customStyle="1">
    <w:name w:val="Tekst podstawowy wcięty Znak"/>
    <w:basedOn w:val="DefaultParagraphFont"/>
    <w:uiPriority w:val="99"/>
    <w:semiHidden/>
    <w:qFormat/>
    <w:rsid w:val="00d21010"/>
    <w:rPr/>
  </w:style>
  <w:style w:type="character" w:styleId="Font" w:customStyle="1">
    <w:name w:val="font"/>
    <w:basedOn w:val="DefaultParagraphFont"/>
    <w:qFormat/>
    <w:rsid w:val="009c5adc"/>
    <w:rPr/>
  </w:style>
  <w:style w:type="character" w:styleId="Size" w:customStyle="1">
    <w:name w:val="size"/>
    <w:basedOn w:val="DefaultParagraphFont"/>
    <w:qFormat/>
    <w:rsid w:val="009c5adc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b7bc2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link w:val="ListParagraph"/>
    <w:uiPriority w:val="34"/>
    <w:qFormat/>
    <w:rsid w:val="00362748"/>
    <w:rPr/>
  </w:style>
  <w:style w:type="character" w:styleId="Odwiedzoneczeinternetowe">
    <w:name w:val="FollowedHyperlink"/>
    <w:basedOn w:val="DefaultParagraphFont"/>
    <w:uiPriority w:val="99"/>
    <w:semiHidden/>
    <w:unhideWhenUsed/>
    <w:rsid w:val="00c260ae"/>
    <w:rPr>
      <w:color w:val="954F72" w:themeColor="followedHyperlink"/>
      <w:u w:val="single"/>
    </w:rPr>
  </w:style>
  <w:style w:type="character" w:styleId="Productproperty-title" w:customStyle="1">
    <w:name w:val="product__property-title"/>
    <w:basedOn w:val="DefaultParagraphFont"/>
    <w:qFormat/>
    <w:rsid w:val="000b32cc"/>
    <w:rPr/>
  </w:style>
  <w:style w:type="character" w:styleId="Productproperty-des" w:customStyle="1">
    <w:name w:val="product__property-des"/>
    <w:basedOn w:val="DefaultParagraphFont"/>
    <w:qFormat/>
    <w:rsid w:val="000b32cc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1"/>
    <w:rsid w:val="00604959"/>
    <w:pPr>
      <w:spacing w:lineRule="auto" w:line="240" w:before="0" w:after="0"/>
      <w:jc w:val="both"/>
    </w:pPr>
    <w:rPr>
      <w:rFonts w:ascii="Times New Roman" w:hAnsi="Times New Roman" w:eastAsia="Times New Roman" w:cs="Times New Roman"/>
      <w:sz w:val="24"/>
      <w:szCs w:val="20"/>
      <w:lang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60747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d210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2101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d21010"/>
    <w:pPr>
      <w:spacing w:before="0" w:after="120"/>
      <w:ind w:left="283" w:hanging="0"/>
    </w:pPr>
    <w:rPr/>
  </w:style>
  <w:style w:type="paragraph" w:styleId="ListParagraph">
    <w:name w:val="List Paragraph"/>
    <w:basedOn w:val="Normal"/>
    <w:link w:val="AkapitzlistZnak"/>
    <w:uiPriority w:val="34"/>
    <w:qFormat/>
    <w:rsid w:val="00747ae9"/>
    <w:pPr>
      <w:spacing w:before="0" w:after="160"/>
      <w:ind w:left="720" w:hanging="0"/>
      <w:contextualSpacing/>
    </w:pPr>
    <w:rPr/>
  </w:style>
  <w:style w:type="paragraph" w:styleId="Akapitzlist1" w:customStyle="1">
    <w:name w:val="akapitzlist1"/>
    <w:basedOn w:val="Normal"/>
    <w:qFormat/>
    <w:rsid w:val="009c5adc"/>
    <w:pPr>
      <w:spacing w:lineRule="auto" w:line="240" w:beforeAutospacing="1" w:afterAutospacing="1"/>
    </w:pPr>
    <w:rPr>
      <w:rFonts w:ascii="Calibri" w:hAnsi="Calibri" w:cs="Calibri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b7bc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78275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Productproperty-item" w:customStyle="1">
    <w:name w:val="product__property-item"/>
    <w:basedOn w:val="Normal"/>
    <w:qFormat/>
    <w:rsid w:val="000b32c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a66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546D923B947CEAD3388340E630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298233-14D3-40ED-AE66-4E4DEE096B9E}"/>
      </w:docPartPr>
      <w:docPartBody>
        <w:p w:rsidR="00CF65B4" w:rsidRDefault="00CF65B4" w:rsidP="00CF65B4">
          <w:pPr>
            <w:pStyle w:val="A3D546D923B947CEAD3388340E630E61"/>
          </w:pPr>
          <w:r>
            <w:rPr>
              <w:color w:val="4472C4" w:themeColor="accent1"/>
              <w:sz w:val="20"/>
              <w:szCs w:val="20"/>
              <w:lang w:val="pl-PL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5B4"/>
    <w:rsid w:val="00123FAC"/>
    <w:rsid w:val="003709E7"/>
    <w:rsid w:val="004568E7"/>
    <w:rsid w:val="0080080A"/>
    <w:rsid w:val="00942C3E"/>
    <w:rsid w:val="00976000"/>
    <w:rsid w:val="009A7361"/>
    <w:rsid w:val="00A70953"/>
    <w:rsid w:val="00B602B7"/>
    <w:rsid w:val="00CF65B4"/>
    <w:rsid w:val="00D62752"/>
    <w:rsid w:val="00ED70F1"/>
    <w:rsid w:val="00F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3D546D923B947CEAD3388340E630E61">
    <w:name w:val="A3D546D923B947CEAD3388340E630E61"/>
    <w:rsid w:val="00CF65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8FA750-A2AA-4009-BBE8-7A358914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Application>LibreOffice/7.5.4.2$Windows_X86_64 LibreOffice_project/36ccfdc35048b057fd9854c757a8b67ec53977b6</Application>
  <AppVersion>15.0000</AppVersion>
  <Pages>2</Pages>
  <Words>372</Words>
  <Characters>2389</Characters>
  <CharactersWithSpaces>2710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2021-11-03T12:53:00Z</dcterms:created>
  <dc:creator>Artur Thill</dc:creator>
  <dc:description/>
  <dc:language>pl-PL</dc:language>
  <cp:lastModifiedBy>Arkadiusz Jakubczyk</cp:lastModifiedBy>
  <cp:lastPrinted>2021-11-03T12:53:00Z</cp:lastPrinted>
  <dcterms:modified xsi:type="dcterms:W3CDTF">2023-09-19T11:12:08Z</dcterms:modified>
  <cp:revision>19</cp:revision>
  <dc:subject/>
  <dc:title>„Wykonanie sieci bezprzewodowej z przeznaczaniem na dostęp do Internetu dla pacjentów oddziałów szpitalnych przy ul. Truchana 7”.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