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98" w:rsidRPr="00043BAF" w:rsidRDefault="00350598" w:rsidP="00350598">
      <w:pPr>
        <w:widowControl w:val="0"/>
        <w:ind w:right="-2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043BAF">
        <w:rPr>
          <w:rFonts w:ascii="Tahoma" w:hAnsi="Tahoma" w:cs="Tahoma"/>
          <w:b/>
          <w:color w:val="000000"/>
          <w:sz w:val="18"/>
          <w:szCs w:val="18"/>
        </w:rPr>
        <w:t>Z</w:t>
      </w:r>
      <w:r>
        <w:rPr>
          <w:rFonts w:ascii="Tahoma" w:hAnsi="Tahoma" w:cs="Tahoma"/>
          <w:b/>
          <w:color w:val="000000"/>
          <w:sz w:val="18"/>
          <w:szCs w:val="18"/>
        </w:rPr>
        <w:t>modyfikowany z</w:t>
      </w:r>
      <w:r w:rsidRPr="00043BAF">
        <w:rPr>
          <w:rFonts w:ascii="Tahoma" w:hAnsi="Tahoma" w:cs="Tahoma"/>
          <w:b/>
          <w:color w:val="000000"/>
          <w:sz w:val="18"/>
          <w:szCs w:val="18"/>
        </w:rPr>
        <w:t>ałącznik nr 2.1 do SIWZ</w:t>
      </w:r>
    </w:p>
    <w:p w:rsidR="00350598" w:rsidRPr="00A6566B" w:rsidRDefault="00350598" w:rsidP="00350598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350598" w:rsidRPr="00A6566B" w:rsidRDefault="00350598" w:rsidP="00350598">
      <w:pPr>
        <w:pStyle w:val="Nagwek2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6566B">
        <w:rPr>
          <w:rFonts w:ascii="Tahoma" w:hAnsi="Tahoma" w:cs="Tahoma"/>
          <w:b/>
          <w:color w:val="000000"/>
          <w:sz w:val="18"/>
          <w:szCs w:val="18"/>
        </w:rPr>
        <w:t xml:space="preserve">Parametry jakościowo – techniczne oferowanego sprzętu laboratoryjnego </w:t>
      </w:r>
    </w:p>
    <w:p w:rsidR="00350598" w:rsidRPr="00A6566B" w:rsidRDefault="00350598" w:rsidP="00350598">
      <w:pPr>
        <w:rPr>
          <w:rFonts w:ascii="Tahoma" w:hAnsi="Tahoma" w:cs="Tahoma"/>
          <w:color w:val="FF0000"/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9"/>
        <w:gridCol w:w="1559"/>
        <w:gridCol w:w="3119"/>
      </w:tblGrid>
      <w:tr w:rsidR="00350598" w:rsidRPr="00043BAF" w:rsidTr="00B201F2">
        <w:trPr>
          <w:tblHeader/>
        </w:trPr>
        <w:tc>
          <w:tcPr>
            <w:tcW w:w="552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Opis parametru oczekiwanego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Odpowiedź oferenta</w:t>
            </w:r>
          </w:p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Tak / Nie*</w:t>
            </w:r>
          </w:p>
        </w:tc>
        <w:tc>
          <w:tcPr>
            <w:tcW w:w="311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Parametry oferowane</w:t>
            </w:r>
          </w:p>
          <w:p w:rsidR="00350598" w:rsidRPr="00043BAF" w:rsidRDefault="00350598" w:rsidP="00B201F2">
            <w:pPr>
              <w:ind w:firstLine="4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(należy podać zakresy lub opisać)</w:t>
            </w:r>
          </w:p>
        </w:tc>
      </w:tr>
      <w:tr w:rsidR="00350598" w:rsidRPr="00043BAF" w:rsidTr="00B201F2">
        <w:trPr>
          <w:trHeight w:val="224"/>
          <w:tblHeader/>
        </w:trPr>
        <w:tc>
          <w:tcPr>
            <w:tcW w:w="552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3</w:t>
            </w: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3"/>
            <w:vAlign w:val="center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analizator hematologiczny 5 </w:t>
            </w:r>
            <w:proofErr w:type="spellStart"/>
            <w:r w:rsidRPr="00043BAF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diff</w:t>
            </w:r>
            <w:proofErr w:type="spellEnd"/>
            <w:r w:rsidRPr="00043BAF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podstawowy </w:t>
            </w: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I.</w:t>
            </w:r>
            <w:r w:rsidRPr="00043BA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Wymagania</w:t>
            </w:r>
            <w:r w:rsidRPr="00043BAF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5529" w:type="dxa"/>
            <w:vAlign w:val="center"/>
          </w:tcPr>
          <w:p w:rsidR="00350598" w:rsidRPr="00043BAF" w:rsidRDefault="00350598" w:rsidP="00B201F2">
            <w:pPr>
              <w:widowControl w:val="0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Proszę  podać typ, model, rok produkcji, kraj pochodzenia analizatora</w:t>
            </w:r>
            <w:r w:rsidRPr="00043BAF">
              <w:rPr>
                <w:rFonts w:ascii="Tahoma" w:hAnsi="Tahoma" w:cs="Tahoma"/>
                <w:sz w:val="18"/>
                <w:szCs w:val="18"/>
              </w:rPr>
              <w:br/>
            </w:r>
            <w:r w:rsidRPr="00043BAF">
              <w:rPr>
                <w:rFonts w:ascii="Tahoma" w:hAnsi="Tahoma" w:cs="Tahoma"/>
                <w:sz w:val="18"/>
                <w:szCs w:val="18"/>
              </w:rPr>
              <w:br/>
              <w:t>Producent/ Siedziba Producenta</w:t>
            </w:r>
            <w:r w:rsidRPr="00043BAF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350598" w:rsidRPr="00043BAF" w:rsidRDefault="00350598" w:rsidP="00B201F2">
            <w:pPr>
              <w:ind w:left="57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Rok produkcji aparatu nie wcześniej niż </w:t>
            </w:r>
            <w:r w:rsidRPr="00043BA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2018 rok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Proszę podać</w:t>
            </w:r>
          </w:p>
        </w:tc>
        <w:tc>
          <w:tcPr>
            <w:tcW w:w="3119" w:type="dxa"/>
            <w:vAlign w:val="center"/>
          </w:tcPr>
          <w:p w:rsidR="00350598" w:rsidRPr="00043BAF" w:rsidRDefault="00350598" w:rsidP="00B201F2">
            <w:pPr>
              <w:ind w:left="105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43BAF">
              <w:rPr>
                <w:rFonts w:ascii="Tahoma" w:hAnsi="Tahoma" w:cs="Tahoma"/>
                <w:sz w:val="18"/>
                <w:szCs w:val="18"/>
              </w:rPr>
              <w:br/>
              <w:t>……………………….…………………</w:t>
            </w:r>
            <w:r w:rsidRPr="00043BAF">
              <w:rPr>
                <w:rFonts w:ascii="Tahoma" w:hAnsi="Tahoma" w:cs="Tahoma"/>
                <w:sz w:val="18"/>
                <w:szCs w:val="18"/>
              </w:rPr>
              <w:br/>
            </w:r>
            <w:r w:rsidRPr="00043BAF">
              <w:rPr>
                <w:rFonts w:ascii="Tahoma" w:hAnsi="Tahoma" w:cs="Tahoma"/>
                <w:sz w:val="18"/>
                <w:szCs w:val="18"/>
              </w:rPr>
              <w:br/>
              <w:t>……………………….…………………</w:t>
            </w:r>
            <w:r w:rsidRPr="00043BAF">
              <w:rPr>
                <w:rFonts w:ascii="Tahoma" w:hAnsi="Tahoma" w:cs="Tahoma"/>
                <w:sz w:val="18"/>
                <w:szCs w:val="18"/>
              </w:rPr>
              <w:br/>
            </w:r>
            <w:r w:rsidRPr="00043BAF">
              <w:rPr>
                <w:rFonts w:ascii="Tahoma" w:hAnsi="Tahoma" w:cs="Tahoma"/>
                <w:sz w:val="18"/>
                <w:szCs w:val="18"/>
              </w:rPr>
              <w:br/>
              <w:t>……………………….…………………</w:t>
            </w:r>
            <w:r w:rsidRPr="00043BAF">
              <w:rPr>
                <w:rFonts w:ascii="Tahoma" w:hAnsi="Tahoma" w:cs="Tahoma"/>
                <w:sz w:val="18"/>
                <w:szCs w:val="18"/>
              </w:rPr>
              <w:br/>
            </w: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552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Analizator hematologiczny w komplecie z podajnikiem automatycznym na min. 50 próbek, z komputerem i monitorem, wbudowanym oraz zewnętrznym czytnikiem kodów kreskowych oraz zewnętrzną drukarką laserową wraz z tonerem ( jeden komplet).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 xml:space="preserve"> Wydajność  analizatora</w:t>
            </w: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529" w:type="dxa"/>
          </w:tcPr>
          <w:p w:rsidR="00350598" w:rsidRPr="00043BAF" w:rsidRDefault="00350598" w:rsidP="00B201F2">
            <w:pPr>
              <w:tabs>
                <w:tab w:val="left" w:pos="497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Wydajność minimum 100 </w:t>
            </w:r>
            <w:proofErr w:type="spellStart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ozn</w:t>
            </w:r>
            <w:proofErr w:type="spellEnd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. / godzinę CBC i CBC+5DIFF - dla    </w:t>
            </w:r>
          </w:p>
          <w:p w:rsidR="00350598" w:rsidRPr="00043BAF" w:rsidRDefault="00350598" w:rsidP="00B201F2">
            <w:pPr>
              <w:tabs>
                <w:tab w:val="left" w:pos="497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próbek podawanych w trybie automatycznym  oraz próbek w trybie </w:t>
            </w:r>
          </w:p>
          <w:p w:rsidR="00350598" w:rsidRPr="00043BAF" w:rsidRDefault="00350598" w:rsidP="00B201F2">
            <w:pPr>
              <w:tabs>
                <w:tab w:val="left" w:pos="49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manualnym.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 xml:space="preserve"> Metoda badań</w:t>
            </w: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529" w:type="dxa"/>
          </w:tcPr>
          <w:p w:rsidR="00350598" w:rsidRPr="00043BAF" w:rsidRDefault="00350598" w:rsidP="00B201F2">
            <w:pPr>
              <w:tabs>
                <w:tab w:val="left" w:pos="497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min. 30 parametrów morfologii krwi raportowanych na ekranie </w:t>
            </w:r>
          </w:p>
          <w:p w:rsidR="00350598" w:rsidRPr="00043BAF" w:rsidRDefault="00350598" w:rsidP="00B201F2">
            <w:pPr>
              <w:tabs>
                <w:tab w:val="left" w:pos="497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w tym :  </w:t>
            </w:r>
          </w:p>
          <w:p w:rsidR="00350598" w:rsidRPr="00043BAF" w:rsidRDefault="00350598" w:rsidP="00B201F2">
            <w:pPr>
              <w:tabs>
                <w:tab w:val="left" w:pos="497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a)  podstawowa morfologia – RBC pomiar konduktometryczny,</w:t>
            </w:r>
          </w:p>
          <w:p w:rsidR="00350598" w:rsidRPr="00043BAF" w:rsidRDefault="00350598" w:rsidP="00B201F2">
            <w:pPr>
              <w:tabs>
                <w:tab w:val="left" w:pos="497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b)  rozdział na min 5 DIFF    -  metoda fluorescencyjnej </w:t>
            </w:r>
            <w:proofErr w:type="spellStart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cytometrii</w:t>
            </w:r>
            <w:proofErr w:type="spellEnd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przepływowej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529" w:type="dxa"/>
          </w:tcPr>
          <w:p w:rsidR="00350598" w:rsidRPr="00043BAF" w:rsidRDefault="00350598" w:rsidP="00B201F2">
            <w:pPr>
              <w:tabs>
                <w:tab w:val="left" w:pos="497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W każdej próbce standardowo wykonywane zliczanie erytroblastów - NRBC i korekta całkowitej liczby WBC.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529" w:type="dxa"/>
          </w:tcPr>
          <w:p w:rsidR="00350598" w:rsidRPr="00043BAF" w:rsidRDefault="00350598" w:rsidP="00B201F2">
            <w:pPr>
              <w:tabs>
                <w:tab w:val="left" w:pos="497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Tryb </w:t>
            </w:r>
            <w:proofErr w:type="spellStart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Low</w:t>
            </w:r>
            <w:proofErr w:type="spellEnd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WBC, który umożliwia wiarygodny i dokładny pomiar próbek </w:t>
            </w:r>
            <w:proofErr w:type="spellStart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leukopenicznych</w:t>
            </w:r>
            <w:proofErr w:type="spellEnd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z wydłużonym czasem pomiaru WBC, co przekłada się na większą liczbę analizowanych komórek i bardziej wiarygodny wynik zliczania i różnicowania WBC (np. w przypadku niskich wartości NEUT w próbkach pacjentów poddawanych chemioterapii).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529" w:type="dxa"/>
          </w:tcPr>
          <w:p w:rsidR="00350598" w:rsidRPr="00043BAF" w:rsidRDefault="00350598" w:rsidP="00B201F2">
            <w:pPr>
              <w:tabs>
                <w:tab w:val="left" w:pos="497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Fotometryczny pomiar stężenia hemoglobiny przy wykorzystaniu odczynnika </w:t>
            </w:r>
            <w:proofErr w:type="spellStart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bezcyjankowego</w:t>
            </w:r>
            <w:proofErr w:type="spellEnd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. Pomiar w oddzielnym kanale w celu minimalizacji interferencji ze strony krwinek białych i lipidów.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 xml:space="preserve">  Eliminacja interferencji pomiaru hemoglobiny</w:t>
            </w: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59"/>
        </w:trPr>
        <w:tc>
          <w:tcPr>
            <w:tcW w:w="5529" w:type="dxa"/>
          </w:tcPr>
          <w:p w:rsidR="00350598" w:rsidRPr="00043BAF" w:rsidRDefault="00350598" w:rsidP="00B201F2">
            <w:pPr>
              <w:pStyle w:val="Tekstpodstawowy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43BAF">
              <w:rPr>
                <w:rFonts w:ascii="Tahoma" w:hAnsi="Tahoma" w:cs="Tahoma"/>
                <w:b w:val="0"/>
                <w:sz w:val="18"/>
                <w:szCs w:val="18"/>
              </w:rPr>
              <w:t xml:space="preserve">  Pomiar hemoglobiny bez interferencji spowodowanej wysoką</w:t>
            </w:r>
          </w:p>
          <w:p w:rsidR="00350598" w:rsidRPr="00043BAF" w:rsidRDefault="00350598" w:rsidP="00B201F2">
            <w:pPr>
              <w:pStyle w:val="Tekstpodstawowy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43BAF">
              <w:rPr>
                <w:rFonts w:ascii="Tahoma" w:hAnsi="Tahoma" w:cs="Tahoma"/>
                <w:b w:val="0"/>
                <w:sz w:val="18"/>
                <w:szCs w:val="18"/>
              </w:rPr>
              <w:t xml:space="preserve">  leukocytozą lub/i  lipemią.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 xml:space="preserve">  System pracy analizatora</w:t>
            </w: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51"/>
        </w:trPr>
        <w:tc>
          <w:tcPr>
            <w:tcW w:w="5529" w:type="dxa"/>
          </w:tcPr>
          <w:p w:rsidR="00350598" w:rsidRPr="00043BAF" w:rsidRDefault="00350598" w:rsidP="00B201F2">
            <w:pPr>
              <w:pStyle w:val="Tekstpodstawowy"/>
              <w:widowControl/>
              <w:tabs>
                <w:tab w:val="left" w:pos="497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43BAF">
              <w:rPr>
                <w:rFonts w:ascii="Tahoma" w:hAnsi="Tahoma" w:cs="Tahoma"/>
                <w:b w:val="0"/>
                <w:snapToGrid w:val="0"/>
                <w:color w:val="000000"/>
                <w:sz w:val="18"/>
                <w:szCs w:val="18"/>
              </w:rPr>
              <w:t xml:space="preserve">Możliwość wykonywania badań w różnych trybach pracy bez potrzeby sortowania probówek: CBC, CBC+DIFF.  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Pr="00043BAF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Liniowość zliczania</w:t>
            </w: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683"/>
        </w:trPr>
        <w:tc>
          <w:tcPr>
            <w:tcW w:w="5529" w:type="dxa"/>
          </w:tcPr>
          <w:p w:rsidR="00350598" w:rsidRPr="00043BAF" w:rsidRDefault="00350598" w:rsidP="00B201F2">
            <w:pPr>
              <w:pStyle w:val="Tekstpodstawowy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43BAF">
              <w:rPr>
                <w:rFonts w:ascii="Tahoma" w:hAnsi="Tahoma" w:cs="Tahoma"/>
                <w:b w:val="0"/>
                <w:sz w:val="18"/>
                <w:szCs w:val="18"/>
              </w:rPr>
              <w:t xml:space="preserve">Liniowość zliczania:  </w:t>
            </w:r>
          </w:p>
          <w:p w:rsidR="00350598" w:rsidRPr="00043BAF" w:rsidRDefault="00350598" w:rsidP="00350598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krwinek białych do 440 </w:t>
            </w:r>
            <w:proofErr w:type="spellStart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tys</w:t>
            </w:r>
            <w:proofErr w:type="spellEnd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/ul</w:t>
            </w:r>
          </w:p>
          <w:p w:rsidR="00350598" w:rsidRPr="00043BAF" w:rsidRDefault="00350598" w:rsidP="00350598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płytek krwi do 5 mln/ul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529" w:type="dxa"/>
          </w:tcPr>
          <w:p w:rsidR="00350598" w:rsidRPr="00043BAF" w:rsidRDefault="00350598" w:rsidP="00B201F2">
            <w:pPr>
              <w:tabs>
                <w:tab w:val="left" w:pos="283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>Sposób podawania próbek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529" w:type="dxa"/>
          </w:tcPr>
          <w:p w:rsidR="00350598" w:rsidRPr="00043BAF" w:rsidRDefault="00350598" w:rsidP="00B201F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manualny oraz automatyczny podajnik dostosowany do systemu zamkniętego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43BAF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Podawanie próbek pilnych</w:t>
            </w: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75"/>
        </w:trPr>
        <w:tc>
          <w:tcPr>
            <w:tcW w:w="5529" w:type="dxa"/>
          </w:tcPr>
          <w:p w:rsidR="00350598" w:rsidRPr="00043BAF" w:rsidRDefault="00350598" w:rsidP="00B201F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Podawanie próbek pilnych bez przerywania</w:t>
            </w:r>
          </w:p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pracy rutynowej.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529" w:type="dxa"/>
          </w:tcPr>
          <w:p w:rsidR="00350598" w:rsidRPr="00043BAF" w:rsidRDefault="00350598" w:rsidP="00B201F2">
            <w:pPr>
              <w:tabs>
                <w:tab w:val="left" w:pos="283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 Objętość próbki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529" w:type="dxa"/>
          </w:tcPr>
          <w:p w:rsidR="00350598" w:rsidRPr="00043BAF" w:rsidRDefault="00350598" w:rsidP="00B201F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Maksymalna objętość próbki do wykonania pełnego profilu badań</w:t>
            </w:r>
          </w:p>
          <w:p w:rsidR="00350598" w:rsidRPr="00043BAF" w:rsidRDefault="00350598" w:rsidP="00B201F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od 88 ul zarówno w trybie manualnym jak i podajnikowym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 xml:space="preserve"> Sygnalizacja poziomu płynów</w:t>
            </w: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552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Sygnalizacja niskiego poziomu odczynników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529" w:type="dxa"/>
          </w:tcPr>
          <w:p w:rsidR="00350598" w:rsidRPr="00043BAF" w:rsidRDefault="00350598" w:rsidP="00B201F2">
            <w:pPr>
              <w:tabs>
                <w:tab w:val="left" w:pos="283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 xml:space="preserve"> Kontrola jakości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529" w:type="dxa"/>
          </w:tcPr>
          <w:p w:rsidR="00350598" w:rsidRPr="00043BAF" w:rsidRDefault="00350598" w:rsidP="00B201F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System kontroli jakości, pełne opracowanie wyniku próbki krwi </w:t>
            </w:r>
          </w:p>
          <w:p w:rsidR="00350598" w:rsidRPr="00043BAF" w:rsidRDefault="00350598" w:rsidP="00B201F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kontrolnej (w tym graficzne)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lastRenderedPageBreak/>
              <w:t xml:space="preserve"> </w:t>
            </w:r>
            <w:r w:rsidRPr="00043BAF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Oznakowanie wyników patologicznych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8" w:rsidRPr="00043BAF" w:rsidRDefault="00350598" w:rsidP="00B201F2">
            <w:pPr>
              <w:ind w:left="355" w:hanging="283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Oznakowanie wyników patologicznych :  </w:t>
            </w:r>
          </w:p>
          <w:p w:rsidR="00350598" w:rsidRPr="00043BAF" w:rsidRDefault="00350598" w:rsidP="00350598">
            <w:pPr>
              <w:numPr>
                <w:ilvl w:val="0"/>
                <w:numId w:val="4"/>
              </w:numPr>
              <w:ind w:left="355" w:hanging="283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Mikrocyty </w:t>
            </w:r>
          </w:p>
          <w:p w:rsidR="00350598" w:rsidRPr="00043BAF" w:rsidRDefault="00350598" w:rsidP="00350598">
            <w:pPr>
              <w:numPr>
                <w:ilvl w:val="0"/>
                <w:numId w:val="4"/>
              </w:numPr>
              <w:ind w:left="355" w:hanging="283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Blasty</w:t>
            </w:r>
            <w:proofErr w:type="spellEnd"/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,                            </w:t>
            </w:r>
          </w:p>
          <w:p w:rsidR="00350598" w:rsidRPr="00043BAF" w:rsidRDefault="00350598" w:rsidP="00350598">
            <w:pPr>
              <w:numPr>
                <w:ilvl w:val="0"/>
                <w:numId w:val="4"/>
              </w:numPr>
              <w:ind w:left="355" w:hanging="283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Niedojrzałe granulocyty,     </w:t>
            </w:r>
          </w:p>
          <w:p w:rsidR="00350598" w:rsidRPr="00043BAF" w:rsidRDefault="00350598" w:rsidP="00350598">
            <w:pPr>
              <w:numPr>
                <w:ilvl w:val="0"/>
                <w:numId w:val="4"/>
              </w:numPr>
              <w:ind w:left="355" w:hanging="283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Erytroblasty,  </w:t>
            </w:r>
          </w:p>
          <w:p w:rsidR="00350598" w:rsidRPr="00043BAF" w:rsidRDefault="00350598" w:rsidP="00350598">
            <w:pPr>
              <w:numPr>
                <w:ilvl w:val="0"/>
                <w:numId w:val="4"/>
              </w:numPr>
              <w:ind w:left="355" w:hanging="283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Atypowe limfocyty,      </w:t>
            </w:r>
          </w:p>
          <w:p w:rsidR="00350598" w:rsidRPr="00043BAF" w:rsidRDefault="00350598" w:rsidP="00350598">
            <w:pPr>
              <w:numPr>
                <w:ilvl w:val="0"/>
                <w:numId w:val="4"/>
              </w:numPr>
              <w:ind w:left="355" w:hanging="283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Fragmenty krwinek czerwonych,</w:t>
            </w:r>
          </w:p>
          <w:p w:rsidR="00350598" w:rsidRPr="00043BAF" w:rsidRDefault="00350598" w:rsidP="00350598">
            <w:pPr>
              <w:numPr>
                <w:ilvl w:val="0"/>
                <w:numId w:val="4"/>
              </w:numPr>
              <w:ind w:left="355" w:hanging="283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Duże płytki,</w:t>
            </w:r>
          </w:p>
          <w:p w:rsidR="00350598" w:rsidRPr="00043BAF" w:rsidRDefault="00350598" w:rsidP="00350598">
            <w:pPr>
              <w:numPr>
                <w:ilvl w:val="0"/>
                <w:numId w:val="4"/>
              </w:numPr>
              <w:ind w:left="355" w:hanging="283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Agregaty płytkowe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 xml:space="preserve"> II. System informatyczny</w:t>
            </w: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5529" w:type="dxa"/>
          </w:tcPr>
          <w:p w:rsidR="00350598" w:rsidRPr="00043BAF" w:rsidRDefault="00350598" w:rsidP="00350598">
            <w:pPr>
              <w:numPr>
                <w:ilvl w:val="0"/>
                <w:numId w:val="1"/>
              </w:numPr>
              <w:tabs>
                <w:tab w:val="num" w:pos="360"/>
              </w:tabs>
              <w:ind w:left="360" w:hanging="288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Dwukierunkowa transmisja danych między analizatorem                           a komputerem zewnętrznym.</w:t>
            </w:r>
          </w:p>
          <w:p w:rsidR="00350598" w:rsidRPr="00043BAF" w:rsidRDefault="00350598" w:rsidP="00350598">
            <w:pPr>
              <w:numPr>
                <w:ilvl w:val="0"/>
                <w:numId w:val="1"/>
              </w:numPr>
              <w:tabs>
                <w:tab w:val="num" w:pos="360"/>
              </w:tabs>
              <w:ind w:left="360" w:hanging="288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Możliwość zmiany konfiguracji wydruków wyników badań</w:t>
            </w:r>
          </w:p>
          <w:p w:rsidR="00350598" w:rsidRPr="00043BAF" w:rsidRDefault="00350598" w:rsidP="00350598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Odczyt kodów paskowych na próbkach –</w:t>
            </w:r>
          </w:p>
          <w:p w:rsidR="00350598" w:rsidRPr="00043BAF" w:rsidRDefault="00350598" w:rsidP="00350598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Zewnętrzny czytnik kodów w wyposażeniu,</w:t>
            </w:r>
          </w:p>
          <w:p w:rsidR="00350598" w:rsidRPr="00043BAF" w:rsidRDefault="00350598" w:rsidP="00350598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Wymagana możliwość wydruku:</w:t>
            </w:r>
          </w:p>
          <w:p w:rsidR="00350598" w:rsidRPr="00043BAF" w:rsidRDefault="00350598" w:rsidP="00350598">
            <w:pPr>
              <w:numPr>
                <w:ilvl w:val="0"/>
                <w:numId w:val="5"/>
              </w:num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wyników kontroli jakości</w:t>
            </w:r>
          </w:p>
          <w:p w:rsidR="00350598" w:rsidRPr="00043BAF" w:rsidRDefault="00350598" w:rsidP="00350598">
            <w:pPr>
              <w:numPr>
                <w:ilvl w:val="0"/>
                <w:numId w:val="5"/>
              </w:num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pełnych wyników badań hematologicznych wraz z wynikiem graficznym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5529" w:type="dxa"/>
          </w:tcPr>
          <w:p w:rsidR="00350598" w:rsidRPr="00043BAF" w:rsidRDefault="00350598" w:rsidP="00350598">
            <w:pPr>
              <w:numPr>
                <w:ilvl w:val="0"/>
                <w:numId w:val="1"/>
              </w:numPr>
              <w:tabs>
                <w:tab w:val="num" w:pos="360"/>
              </w:tabs>
              <w:ind w:left="360" w:hanging="288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Podpięcie do LIS (Laboratoryjnego Informatycznego Systemu)</w:t>
            </w:r>
          </w:p>
        </w:tc>
        <w:tc>
          <w:tcPr>
            <w:tcW w:w="155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3"/>
            <w:vAlign w:val="center"/>
          </w:tcPr>
          <w:p w:rsidR="00350598" w:rsidRPr="00043BAF" w:rsidRDefault="00350598" w:rsidP="00B201F2">
            <w:pPr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Wymagania z zakresu gwarancji, serwisu, dopuszczenia do użytkowania, warunki dodatkowe dla oferowanych urządzeń laboratoryjnych</w:t>
            </w: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Instrukcja obsługi urządzeń w języku polskim, intuicyjne oprogramowanie w języku angielskim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Deklaracja Zgodności, CE potwierdzające walidację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Szkolenie personelu zamawiającego</w:t>
            </w: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(Pracowników Laboratorium w zakresie poprawnej eksploatacji urządzeń i działania systemu informatycznego oraz interpretacji wyników - w terminie do 7 dni od instalacji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urządzenia</w:t>
            </w: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/ systemu)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opisać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Wykonawca gwarantuje, że wyżej wyspecyfikowane urządzenie </w:t>
            </w:r>
          </w:p>
          <w:p w:rsidR="00350598" w:rsidRPr="00043BAF" w:rsidRDefault="00350598" w:rsidP="00B201F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jest kompletne i będzie gotowe do użytkowania bez żadnych dodatkowych zakupów i inwestycji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Katalogi lub inne materiały opisujące przedmiot zamówienia w języku polskim 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Wykonawca gwarantuje, że dzierżawione urządzenie objęte </w:t>
            </w:r>
          </w:p>
          <w:p w:rsidR="00350598" w:rsidRPr="00043BAF" w:rsidRDefault="00350598" w:rsidP="00B201F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jest gwarancją na cały czas trwania umowy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tabs>
                <w:tab w:val="left" w:pos="498"/>
              </w:tabs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Wykonawca zobowiązuje się do przeprowadzenia przeglądów serwisowych wydzierżawionego urządzenia laboratoryjnego. </w:t>
            </w: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Wliczony w cenę oferty</w:t>
            </w:r>
            <w:r w:rsidRPr="00043BAF">
              <w:rPr>
                <w:rFonts w:ascii="Tahoma" w:hAnsi="Tahoma" w:cs="Tahoma"/>
                <w:sz w:val="18"/>
                <w:szCs w:val="18"/>
              </w:rPr>
              <w:t xml:space="preserve"> przegląd nie mniej niż 1 raz w ciągu </w:t>
            </w:r>
          </w:p>
          <w:p w:rsidR="00350598" w:rsidRPr="00043BAF" w:rsidRDefault="00350598" w:rsidP="00B201F2">
            <w:pPr>
              <w:tabs>
                <w:tab w:val="left" w:pos="498"/>
              </w:tabs>
              <w:suppressAutoHyphens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12 miesięcy potwierdzony dokumentem/ certyfikatem dopuszczającym do dalszego stosowania. Wykonawca zobowiązany jest przedstawić po podpisaniu umowy harmonogram działań serwisowych zgodny z zaleceniami producenta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W okresie</w:t>
            </w:r>
            <w:r w:rsidRPr="00043BAF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043BAF">
              <w:rPr>
                <w:rFonts w:ascii="Tahoma" w:hAnsi="Tahoma" w:cs="Tahoma"/>
                <w:sz w:val="18"/>
                <w:szCs w:val="18"/>
              </w:rPr>
              <w:t>gwarancji Wykonawca zobowiązuje się do naprawy lub wymiany części zużywalnych, zamiennych oraz akcesoriów urządzenia na nowe oryginalne, które uległy uszkodzeniu z przyczyn niezależnych od obsługi. Koszty naprawy zostały uwzględnione w cenie oferty.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Wykonawca oświadcza, że występujące awarie i usterki będące wynikiem normalnej, zgodnej z instrukcją obsługi i eksploatacji urządzeń oraz systemu informatycznego, będzie usuwał na koszt własny w terminie uzgod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nionym z Z</w:t>
            </w: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amawiającym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</w:tcPr>
          <w:p w:rsidR="00350598" w:rsidRPr="00043BAF" w:rsidRDefault="00350598" w:rsidP="00B201F2">
            <w:pPr>
              <w:ind w:left="57" w:right="-57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Paszporty techniczne (karty techniczne) będą dostarczone wraz z urządzeniem, przy czym zawierać będzie (minimum) poniższe dane:</w:t>
            </w:r>
          </w:p>
          <w:p w:rsidR="00350598" w:rsidRPr="00043BAF" w:rsidRDefault="00350598" w:rsidP="0035059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 w:hanging="22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nazwa urządzenia pozwalająca zidentyfikować przeznaczenie urządzenia,</w:t>
            </w:r>
          </w:p>
          <w:p w:rsidR="00350598" w:rsidRPr="00043BAF" w:rsidRDefault="00350598" w:rsidP="0035059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 w:hanging="22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nazwa producenta,</w:t>
            </w:r>
          </w:p>
          <w:p w:rsidR="00350598" w:rsidRPr="00043BAF" w:rsidRDefault="00350598" w:rsidP="0035059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 w:hanging="22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typ urządzenia i numer seryjny, </w:t>
            </w:r>
          </w:p>
          <w:p w:rsidR="00350598" w:rsidRPr="00043BAF" w:rsidRDefault="00350598" w:rsidP="0035059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 w:hanging="22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data rozpoczęcia eksploatacji. </w:t>
            </w:r>
          </w:p>
          <w:p w:rsidR="00350598" w:rsidRPr="00043BAF" w:rsidRDefault="00350598" w:rsidP="00B201F2">
            <w:pPr>
              <w:ind w:left="57" w:right="-57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W części ww. dokumentu dotyczącej napraw i badań stanu </w:t>
            </w:r>
            <w:r w:rsidRPr="00043BAF">
              <w:rPr>
                <w:rFonts w:ascii="Tahoma" w:hAnsi="Tahoma" w:cs="Tahoma"/>
                <w:sz w:val="18"/>
                <w:szCs w:val="18"/>
              </w:rPr>
              <w:lastRenderedPageBreak/>
              <w:t>technicznego powinny znaleźć się zapisy dokumentujące:</w:t>
            </w:r>
          </w:p>
          <w:p w:rsidR="00350598" w:rsidRPr="00043BAF" w:rsidRDefault="00350598" w:rsidP="0035059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 w:hanging="22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uruchomienie urządzenia, przeprowadzenie testu, </w:t>
            </w:r>
          </w:p>
          <w:p w:rsidR="00350598" w:rsidRPr="00043BAF" w:rsidRDefault="00350598" w:rsidP="0035059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 w:hanging="22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350598" w:rsidRPr="00043BAF" w:rsidRDefault="00350598" w:rsidP="0035059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 w:hanging="22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datę wykonania powyższych czynności, </w:t>
            </w:r>
          </w:p>
          <w:p w:rsidR="00350598" w:rsidRPr="00043BAF" w:rsidRDefault="00350598" w:rsidP="0035059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 w:hanging="227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datę, do której powinien zostać wykonany następny okresowy przegląd techniczny urządzenia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W okresie trwania gwarancji Wykonawca zobowiązuje się do załatwienia wszelkich formalności celnych, związanych z ewentualną wymianą urządzeń na nowe, jego wysyłką do naprawy gwarancyjnej i odbiorem lub jego importem we własnym zakresie – bez udziału zamawiającego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pStyle w:val="Stopka"/>
              <w:tabs>
                <w:tab w:val="clear" w:pos="4536"/>
                <w:tab w:val="clear" w:pos="9072"/>
              </w:tabs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Obsługa serwisowa świadczona jest przez 7 dni w tygodniu 24 godziny/ dobę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 xml:space="preserve">Czas reakcji serwisu od chwili zgłoszenia awarii do momentu przyjazdu techników do Szpitala wynosi do 24 godzin przez 7 dni </w:t>
            </w:r>
          </w:p>
          <w:p w:rsidR="00350598" w:rsidRPr="00043BAF" w:rsidRDefault="00350598" w:rsidP="00B201F2">
            <w:pPr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w tygodniu.</w:t>
            </w:r>
          </w:p>
          <w:p w:rsidR="00350598" w:rsidRPr="00043BAF" w:rsidRDefault="00350598" w:rsidP="00B201F2">
            <w:pPr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Przez czas reakcji serwisu rozumie się podjęcie działań w następstwie zgłoszenia telefonicznego, przesłania faksu lub wysłania zgłoszenia przesyłką pocztową, polegających na ustaleniu zakresu i przyczyn uszkodzenia sprzętu / </w:t>
            </w:r>
            <w:r w:rsidRPr="00350598">
              <w:rPr>
                <w:rFonts w:ascii="Tahoma" w:hAnsi="Tahoma" w:cs="Tahoma"/>
                <w:b/>
                <w:strike/>
                <w:sz w:val="18"/>
                <w:szCs w:val="18"/>
              </w:rPr>
              <w:t>awarii systemu informatycznego</w:t>
            </w:r>
            <w:r w:rsidRPr="00043BAF">
              <w:rPr>
                <w:rFonts w:ascii="Tahoma" w:hAnsi="Tahoma" w:cs="Tahoma"/>
                <w:sz w:val="18"/>
                <w:szCs w:val="18"/>
              </w:rPr>
              <w:t xml:space="preserve"> or</w:t>
            </w:r>
            <w:bookmarkStart w:id="0" w:name="_GoBack"/>
            <w:bookmarkEnd w:id="0"/>
            <w:r w:rsidRPr="00043BAF">
              <w:rPr>
                <w:rFonts w:ascii="Tahoma" w:hAnsi="Tahoma" w:cs="Tahoma"/>
                <w:sz w:val="18"/>
                <w:szCs w:val="18"/>
              </w:rPr>
              <w:t>az określeniu sposobu i terminu usunięcia uszkodzenia.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Odległość serwisu od siedziby Zamawiającego wynosi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ind w:left="57"/>
              <w:rPr>
                <w:rFonts w:ascii="Tahoma" w:hAnsi="Tahoma" w:cs="Tahoma"/>
                <w:b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Czas naprawy urządzeń / usunięcia awarii systemu informatycznego – </w:t>
            </w:r>
            <w:r w:rsidRPr="00043BAF">
              <w:rPr>
                <w:rFonts w:ascii="Tahoma" w:hAnsi="Tahoma" w:cs="Tahoma"/>
                <w:b/>
                <w:sz w:val="18"/>
                <w:szCs w:val="18"/>
              </w:rPr>
              <w:t xml:space="preserve">nie dłuższy niż 24 godziny przez 7 dni </w:t>
            </w:r>
          </w:p>
          <w:p w:rsidR="00350598" w:rsidRPr="00043BAF" w:rsidRDefault="00350598" w:rsidP="00B201F2">
            <w:pPr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b/>
                <w:sz w:val="18"/>
                <w:szCs w:val="18"/>
              </w:rPr>
              <w:t>w tygodniu.</w:t>
            </w:r>
          </w:p>
          <w:p w:rsidR="00350598" w:rsidRPr="00043BAF" w:rsidRDefault="00350598" w:rsidP="00B201F2">
            <w:pPr>
              <w:pStyle w:val="Tekstpodstawowy32"/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 xml:space="preserve">W przypadku naprawy sprzętu dłuższej niż 24 godziny od momentu zgłoszenia przez Zamawiającego, Wykonawca zapewni Zamawiającemu sprzęt zastępczy o równorzędnych parametrach, pozwalający na wykonywanie badań w zakresie objętym zamówieniem lub zabezpiecza wysłanie i wykonanie badań </w:t>
            </w:r>
          </w:p>
          <w:p w:rsidR="00350598" w:rsidRPr="00043BAF" w:rsidRDefault="00350598" w:rsidP="00B201F2">
            <w:pPr>
              <w:pStyle w:val="Tekstpodstawowy32"/>
              <w:ind w:left="57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w innym laboratorium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Maksymalna ilość napraw głównych (np. tego samego elementu), po których urządzenie zostanie wymienione na egzemplarz wolny od wad: 3 naprawy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Dojazd techników/ serwisantów do siedziby Zamawiającego oraz transport sprzętu odbywa się na koszt Wykonawcy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50598" w:rsidRPr="00043BAF" w:rsidTr="00B201F2">
        <w:tblPrEx>
          <w:tblLook w:val="0000" w:firstRow="0" w:lastRow="0" w:firstColumn="0" w:lastColumn="0" w:noHBand="0" w:noVBand="0"/>
        </w:tblPrEx>
        <w:tc>
          <w:tcPr>
            <w:tcW w:w="5529" w:type="dxa"/>
            <w:vAlign w:val="center"/>
          </w:tcPr>
          <w:p w:rsidR="00350598" w:rsidRPr="00043BAF" w:rsidRDefault="00350598" w:rsidP="00B201F2">
            <w:pPr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Siedziba serwisu - dokładny adres i nr telefonu. </w:t>
            </w:r>
          </w:p>
          <w:p w:rsidR="00350598" w:rsidRPr="00043BAF" w:rsidRDefault="00350598" w:rsidP="00B201F2">
            <w:pPr>
              <w:ind w:left="57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43BAF">
              <w:rPr>
                <w:rFonts w:ascii="Tahoma" w:hAnsi="Tahoma" w:cs="Tahoma"/>
                <w:color w:val="000000"/>
                <w:sz w:val="18"/>
                <w:szCs w:val="18"/>
              </w:rPr>
              <w:t>Dane osoby odpowiedzialnej za serwisowanie sprzętu</w:t>
            </w:r>
          </w:p>
        </w:tc>
        <w:tc>
          <w:tcPr>
            <w:tcW w:w="1559" w:type="dxa"/>
            <w:vAlign w:val="center"/>
          </w:tcPr>
          <w:p w:rsidR="00350598" w:rsidRPr="00043BAF" w:rsidRDefault="00350598" w:rsidP="00B201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3BAF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19" w:type="dxa"/>
          </w:tcPr>
          <w:p w:rsidR="00350598" w:rsidRPr="00043BAF" w:rsidRDefault="00350598" w:rsidP="00B201F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:rsidR="00350598" w:rsidRPr="00A6566B" w:rsidRDefault="00350598" w:rsidP="00350598">
      <w:pPr>
        <w:rPr>
          <w:rFonts w:ascii="Tahoma" w:hAnsi="Tahoma" w:cs="Tahoma"/>
          <w:color w:val="FF0000"/>
          <w:sz w:val="18"/>
          <w:szCs w:val="18"/>
        </w:rPr>
      </w:pPr>
    </w:p>
    <w:p w:rsidR="00350598" w:rsidRPr="00A6566B" w:rsidRDefault="00350598" w:rsidP="00350598">
      <w:pPr>
        <w:pStyle w:val="Nagwek6"/>
        <w:jc w:val="left"/>
        <w:rPr>
          <w:rFonts w:ascii="Tahoma" w:hAnsi="Tahoma" w:cs="Tahoma"/>
          <w:b w:val="0"/>
          <w:color w:val="000000"/>
          <w:sz w:val="18"/>
          <w:szCs w:val="18"/>
        </w:rPr>
      </w:pPr>
      <w:r w:rsidRPr="00A6566B">
        <w:rPr>
          <w:rFonts w:ascii="Tahoma" w:hAnsi="Tahoma" w:cs="Tahoma"/>
          <w:color w:val="000000"/>
          <w:sz w:val="18"/>
          <w:szCs w:val="18"/>
        </w:rPr>
        <w:t xml:space="preserve">Uwaga: </w:t>
      </w:r>
      <w:r w:rsidRPr="00A6566B">
        <w:rPr>
          <w:rFonts w:ascii="Tahoma" w:hAnsi="Tahoma" w:cs="Tahoma"/>
          <w:b w:val="0"/>
          <w:color w:val="000000"/>
          <w:sz w:val="18"/>
          <w:szCs w:val="18"/>
        </w:rPr>
        <w:t xml:space="preserve">Nie wypełnienie którejkolwiek z rubryk w kolumnie 3. tabeli „Wymagania techniczne – warunki graniczne </w:t>
      </w:r>
    </w:p>
    <w:p w:rsidR="00350598" w:rsidRPr="00A6566B" w:rsidRDefault="00350598" w:rsidP="00350598">
      <w:pPr>
        <w:pStyle w:val="Nagwek6"/>
        <w:jc w:val="left"/>
        <w:rPr>
          <w:rFonts w:ascii="Tahoma" w:hAnsi="Tahoma" w:cs="Tahoma"/>
          <w:b w:val="0"/>
          <w:color w:val="000000"/>
          <w:sz w:val="18"/>
          <w:szCs w:val="18"/>
        </w:rPr>
      </w:pPr>
      <w:r w:rsidRPr="00A6566B">
        <w:rPr>
          <w:rFonts w:ascii="Tahoma" w:hAnsi="Tahoma" w:cs="Tahoma"/>
          <w:b w:val="0"/>
          <w:color w:val="000000"/>
          <w:sz w:val="18"/>
          <w:szCs w:val="18"/>
        </w:rPr>
        <w:t>i pożądane”, bądź nie spełnienie warunków granicznych będzie skutkować odrzuceniem oferty.</w:t>
      </w:r>
    </w:p>
    <w:p w:rsidR="00350598" w:rsidRPr="00A6566B" w:rsidRDefault="00350598" w:rsidP="00350598">
      <w:pPr>
        <w:rPr>
          <w:rFonts w:ascii="Tahoma" w:hAnsi="Tahoma" w:cs="Tahoma"/>
          <w:color w:val="FF0000"/>
          <w:sz w:val="18"/>
          <w:szCs w:val="18"/>
        </w:rPr>
      </w:pPr>
    </w:p>
    <w:p w:rsidR="00350598" w:rsidRPr="00A6566B" w:rsidRDefault="00350598" w:rsidP="00350598">
      <w:pPr>
        <w:rPr>
          <w:rFonts w:ascii="Tahoma" w:hAnsi="Tahoma" w:cs="Tahoma"/>
          <w:color w:val="FF0000"/>
          <w:sz w:val="18"/>
          <w:szCs w:val="18"/>
        </w:rPr>
      </w:pPr>
    </w:p>
    <w:p w:rsidR="00350598" w:rsidRPr="00A6566B" w:rsidRDefault="00350598" w:rsidP="00350598">
      <w:pPr>
        <w:rPr>
          <w:rFonts w:ascii="Tahoma" w:hAnsi="Tahoma" w:cs="Tahoma"/>
          <w:color w:val="FF0000"/>
          <w:sz w:val="18"/>
          <w:szCs w:val="18"/>
        </w:rPr>
      </w:pPr>
    </w:p>
    <w:p w:rsidR="00350598" w:rsidRPr="00A6566B" w:rsidRDefault="00350598" w:rsidP="00350598">
      <w:pPr>
        <w:widowControl w:val="0"/>
        <w:ind w:right="-2"/>
        <w:jc w:val="right"/>
        <w:rPr>
          <w:rFonts w:ascii="Tahoma" w:hAnsi="Tahoma" w:cs="Tahoma"/>
          <w:color w:val="000000"/>
          <w:sz w:val="18"/>
          <w:szCs w:val="18"/>
        </w:rPr>
      </w:pPr>
      <w:r w:rsidRPr="00A6566B">
        <w:rPr>
          <w:rFonts w:ascii="Tahoma" w:hAnsi="Tahoma" w:cs="Tahoma"/>
          <w:color w:val="000000"/>
          <w:sz w:val="18"/>
          <w:szCs w:val="18"/>
        </w:rPr>
        <w:t>.............................................................</w:t>
      </w:r>
    </w:p>
    <w:p w:rsidR="00350598" w:rsidRPr="00A6566B" w:rsidRDefault="00350598" w:rsidP="00350598">
      <w:pPr>
        <w:widowControl w:val="0"/>
        <w:ind w:left="6381" w:right="-2"/>
        <w:jc w:val="center"/>
        <w:rPr>
          <w:rFonts w:ascii="Tahoma" w:hAnsi="Tahoma" w:cs="Tahoma"/>
          <w:color w:val="000000"/>
          <w:sz w:val="18"/>
          <w:szCs w:val="18"/>
        </w:rPr>
      </w:pPr>
      <w:r w:rsidRPr="00A6566B">
        <w:rPr>
          <w:rFonts w:ascii="Tahoma" w:hAnsi="Tahoma" w:cs="Tahoma"/>
          <w:color w:val="000000"/>
          <w:sz w:val="18"/>
          <w:szCs w:val="18"/>
        </w:rPr>
        <w:t>(podpis i pieczęć osoby uprawnionej</w:t>
      </w:r>
    </w:p>
    <w:p w:rsidR="00350598" w:rsidRPr="00A6566B" w:rsidRDefault="00350598" w:rsidP="00350598">
      <w:pPr>
        <w:widowControl w:val="0"/>
        <w:ind w:left="6381" w:right="-2"/>
        <w:jc w:val="center"/>
        <w:rPr>
          <w:rFonts w:ascii="Tahoma" w:hAnsi="Tahoma" w:cs="Tahoma"/>
          <w:color w:val="FF0000"/>
          <w:sz w:val="18"/>
          <w:szCs w:val="18"/>
        </w:rPr>
      </w:pPr>
      <w:r w:rsidRPr="00A6566B">
        <w:rPr>
          <w:rFonts w:ascii="Tahoma" w:hAnsi="Tahoma" w:cs="Tahoma"/>
          <w:color w:val="000000"/>
          <w:sz w:val="18"/>
          <w:szCs w:val="18"/>
        </w:rPr>
        <w:t>do reprezentowania firmy)</w:t>
      </w:r>
    </w:p>
    <w:p w:rsidR="00350598" w:rsidRPr="00A6566B" w:rsidRDefault="00350598" w:rsidP="00350598">
      <w:pPr>
        <w:jc w:val="center"/>
        <w:rPr>
          <w:rFonts w:ascii="Tahoma" w:hAnsi="Tahoma" w:cs="Tahoma"/>
          <w:color w:val="FF0000"/>
          <w:sz w:val="18"/>
          <w:szCs w:val="18"/>
        </w:rPr>
        <w:sectPr w:rsidR="00350598" w:rsidRPr="00A6566B" w:rsidSect="0096046B">
          <w:pgSz w:w="11906" w:h="16838"/>
          <w:pgMar w:top="1021" w:right="1418" w:bottom="1021" w:left="1134" w:header="709" w:footer="709" w:gutter="0"/>
          <w:cols w:space="708"/>
          <w:docGrid w:linePitch="272"/>
        </w:sectPr>
      </w:pPr>
    </w:p>
    <w:p w:rsidR="003B6B8B" w:rsidRDefault="003B6B8B"/>
    <w:sectPr w:rsidR="003B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3E32"/>
    <w:multiLevelType w:val="singleLevel"/>
    <w:tmpl w:val="17FCA75E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1">
    <w:nsid w:val="49A0359C"/>
    <w:multiLevelType w:val="singleLevel"/>
    <w:tmpl w:val="17FCA75E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2">
    <w:nsid w:val="53FE7B7A"/>
    <w:multiLevelType w:val="hybridMultilevel"/>
    <w:tmpl w:val="C6A40734"/>
    <w:lvl w:ilvl="0" w:tplc="90E634FA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6867108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715C37A6"/>
    <w:multiLevelType w:val="singleLevel"/>
    <w:tmpl w:val="166C704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98"/>
    <w:rsid w:val="00350598"/>
    <w:rsid w:val="003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0598"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50598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0598"/>
    <w:rPr>
      <w:rFonts w:ascii="02020603050405020304" w:eastAsia="Times New Roman" w:hAnsi="02020603050405020304" w:cs="Times New Roman"/>
      <w:sz w:val="24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505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0598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05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50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05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5059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0598"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50598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0598"/>
    <w:rPr>
      <w:rFonts w:ascii="02020603050405020304" w:eastAsia="Times New Roman" w:hAnsi="02020603050405020304" w:cs="Times New Roman"/>
      <w:sz w:val="24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505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0598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05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50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05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5059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Parametry jakościowo – techniczne oferowanego sprzętu laboratoryjnego </vt:lpstr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1</cp:revision>
  <dcterms:created xsi:type="dcterms:W3CDTF">2019-02-06T09:54:00Z</dcterms:created>
  <dcterms:modified xsi:type="dcterms:W3CDTF">2019-02-06T09:56:00Z</dcterms:modified>
</cp:coreProperties>
</file>